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55E5" w:rsidRDefault="00D361FE">
      <w:pPr>
        <w:ind w:firstLineChars="200" w:firstLine="859"/>
        <w:rPr>
          <w:rFonts w:ascii="宋体" w:eastAsia="宋体" w:hAnsi="宋体"/>
          <w:b/>
          <w:sz w:val="44"/>
        </w:rPr>
      </w:pPr>
      <w:r>
        <w:rPr>
          <w:rFonts w:ascii="宋体" w:eastAsia="宋体" w:hAnsi="宋体" w:hint="eastAsia"/>
          <w:b/>
          <w:sz w:val="44"/>
        </w:rPr>
        <w:t>江苏民丰农村商业银行股份有限公司</w:t>
      </w:r>
    </w:p>
    <w:p w:rsidR="003A55E5" w:rsidRDefault="00D361FE">
      <w:pPr>
        <w:jc w:val="center"/>
        <w:rPr>
          <w:rFonts w:ascii="宋体" w:eastAsia="宋体" w:hAnsi="宋体"/>
          <w:b/>
          <w:sz w:val="44"/>
        </w:rPr>
      </w:pPr>
      <w:r>
        <w:rPr>
          <w:rFonts w:ascii="宋体" w:eastAsia="宋体" w:hAnsi="宋体" w:hint="eastAsia"/>
          <w:b/>
          <w:sz w:val="44"/>
        </w:rPr>
        <w:t>202</w:t>
      </w:r>
      <w:r>
        <w:rPr>
          <w:rFonts w:ascii="宋体" w:eastAsia="宋体" w:hAnsi="宋体" w:hint="eastAsia"/>
          <w:b/>
          <w:sz w:val="44"/>
        </w:rPr>
        <w:t>5</w:t>
      </w:r>
      <w:r>
        <w:rPr>
          <w:rFonts w:ascii="宋体" w:eastAsia="宋体" w:hAnsi="宋体" w:hint="eastAsia"/>
          <w:b/>
          <w:sz w:val="44"/>
        </w:rPr>
        <w:t>年</w:t>
      </w:r>
      <w:r>
        <w:rPr>
          <w:rFonts w:ascii="宋体" w:eastAsia="宋体" w:hAnsi="宋体" w:hint="eastAsia"/>
          <w:b/>
          <w:sz w:val="44"/>
        </w:rPr>
        <w:t>半年度</w:t>
      </w:r>
      <w:r>
        <w:rPr>
          <w:rFonts w:ascii="宋体" w:eastAsia="宋体" w:hAnsi="宋体" w:hint="eastAsia"/>
          <w:b/>
          <w:sz w:val="44"/>
        </w:rPr>
        <w:t>第三支柱信息披露报告</w:t>
      </w:r>
    </w:p>
    <w:p w:rsidR="003A55E5" w:rsidRDefault="003A55E5">
      <w:pPr>
        <w:ind w:firstLineChars="200" w:firstLine="616"/>
      </w:pPr>
    </w:p>
    <w:p w:rsidR="003A55E5" w:rsidRDefault="00D361FE">
      <w:pPr>
        <w:ind w:firstLineChars="200" w:firstLine="616"/>
      </w:pPr>
      <w:r>
        <w:rPr>
          <w:rFonts w:hint="eastAsia"/>
        </w:rPr>
        <w:t>本行为第二档商业银行中的非上市银行，根据《商业银行资本管理办法》（以下简称“办法”）附件</w:t>
      </w:r>
      <w:r>
        <w:rPr>
          <w:rFonts w:hint="eastAsia"/>
        </w:rPr>
        <w:t>22</w:t>
      </w:r>
      <w:r>
        <w:rPr>
          <w:rFonts w:hint="eastAsia"/>
        </w:rPr>
        <w:t>《商业银行信息披露内容和要求》以及《国家金融监督管理总局关于实施</w:t>
      </w:r>
      <w:r>
        <w:rPr>
          <w:rFonts w:hint="eastAsia"/>
        </w:rPr>
        <w:t>&lt;</w:t>
      </w:r>
      <w:r>
        <w:rPr>
          <w:rFonts w:hint="eastAsia"/>
        </w:rPr>
        <w:t>商业银行资本管理办法</w:t>
      </w:r>
      <w:r>
        <w:rPr>
          <w:rFonts w:hint="eastAsia"/>
        </w:rPr>
        <w:t>&gt;</w:t>
      </w:r>
      <w:r>
        <w:rPr>
          <w:rFonts w:hint="eastAsia"/>
        </w:rPr>
        <w:t>相关事项的通知》（金规〔</w:t>
      </w:r>
      <w:r>
        <w:rPr>
          <w:rFonts w:hint="eastAsia"/>
        </w:rPr>
        <w:t>2023</w:t>
      </w:r>
      <w:r>
        <w:rPr>
          <w:rFonts w:hint="eastAsia"/>
        </w:rPr>
        <w:t>〕</w:t>
      </w:r>
      <w:r>
        <w:rPr>
          <w:rFonts w:hint="eastAsia"/>
        </w:rPr>
        <w:t xml:space="preserve">9 </w:t>
      </w:r>
      <w:r>
        <w:rPr>
          <w:rFonts w:hint="eastAsia"/>
        </w:rPr>
        <w:t>号）的相关规定，本行进行信息披露，</w:t>
      </w:r>
      <w:r>
        <w:t>并表范围包括本公司主发起设立的</w:t>
      </w:r>
      <w:r>
        <w:t>9</w:t>
      </w:r>
      <w:r>
        <w:t>家村镇银行。</w:t>
      </w:r>
    </w:p>
    <w:p w:rsidR="003A55E5" w:rsidRDefault="00D361FE">
      <w:pPr>
        <w:ind w:firstLineChars="200" w:firstLine="616"/>
      </w:pPr>
      <w:r>
        <w:rPr>
          <w:rFonts w:hint="eastAsia"/>
        </w:rPr>
        <w:t>本季度需披露的报表如下：</w:t>
      </w:r>
    </w:p>
    <w:p w:rsidR="003A55E5" w:rsidRDefault="00D361FE">
      <w:pPr>
        <w:ind w:firstLineChars="200" w:firstLine="616"/>
      </w:pPr>
      <w:r>
        <w:rPr>
          <w:rFonts w:hint="eastAsia"/>
        </w:rPr>
        <w:t>附表</w:t>
      </w:r>
      <w:r>
        <w:rPr>
          <w:rFonts w:hint="eastAsia"/>
        </w:rPr>
        <w:t>:</w:t>
      </w:r>
      <w:r>
        <w:rPr>
          <w:rFonts w:hint="eastAsia"/>
        </w:rPr>
        <w:t>一：</w:t>
      </w:r>
      <w:r>
        <w:rPr>
          <w:rFonts w:hint="eastAsia"/>
        </w:rPr>
        <w:t xml:space="preserve">KM1 </w:t>
      </w:r>
      <w:r>
        <w:rPr>
          <w:rFonts w:hint="eastAsia"/>
        </w:rPr>
        <w:t>表格：监管并表关键审慎监管指标</w:t>
      </w:r>
    </w:p>
    <w:p w:rsidR="003A55E5" w:rsidRDefault="00D361FE">
      <w:pPr>
        <w:ind w:firstLineChars="1900" w:firstLine="5852"/>
      </w:pPr>
      <w:r>
        <w:rPr>
          <w:rFonts w:hint="eastAsia"/>
        </w:rPr>
        <w:t>单位：人民币万元</w:t>
      </w:r>
    </w:p>
    <w:tbl>
      <w:tblPr>
        <w:tblW w:w="5000" w:type="pct"/>
        <w:tblBorders>
          <w:top w:val="single" w:sz="8" w:space="0" w:color="auto"/>
          <w:bottom w:val="single" w:sz="8" w:space="0" w:color="auto"/>
          <w:insideH w:val="single" w:sz="8" w:space="0" w:color="auto"/>
          <w:insideV w:val="single" w:sz="8" w:space="0" w:color="auto"/>
        </w:tblBorders>
        <w:tblLook w:val="04A0" w:firstRow="1" w:lastRow="0" w:firstColumn="1" w:lastColumn="0" w:noHBand="0" w:noVBand="1"/>
      </w:tblPr>
      <w:tblGrid>
        <w:gridCol w:w="1766"/>
        <w:gridCol w:w="2871"/>
        <w:gridCol w:w="1862"/>
        <w:gridCol w:w="1807"/>
      </w:tblGrid>
      <w:tr w:rsidR="003A55E5">
        <w:trPr>
          <w:trHeight w:val="573"/>
        </w:trPr>
        <w:tc>
          <w:tcPr>
            <w:tcW w:w="2791" w:type="pct"/>
            <w:gridSpan w:val="2"/>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 xml:space="preserve">　</w:t>
            </w:r>
          </w:p>
        </w:tc>
        <w:tc>
          <w:tcPr>
            <w:tcW w:w="1121" w:type="pct"/>
            <w:tcBorders>
              <w:tl2br w:val="nil"/>
              <w:tr2bl w:val="nil"/>
            </w:tcBorders>
            <w:shd w:val="clear" w:color="auto" w:fill="auto"/>
            <w:vAlign w:val="center"/>
          </w:tcPr>
          <w:p w:rsidR="003A55E5" w:rsidRDefault="00D361FE">
            <w:pPr>
              <w:widowControl/>
              <w:spacing w:line="240" w:lineRule="auto"/>
              <w:jc w:val="center"/>
              <w:rPr>
                <w:rFonts w:ascii="宋体" w:eastAsia="宋体" w:hAnsi="宋体" w:cs="宋体"/>
                <w:b/>
                <w:bCs/>
                <w:color w:val="000000"/>
                <w:spacing w:val="0"/>
                <w:kern w:val="0"/>
                <w:sz w:val="21"/>
                <w:szCs w:val="21"/>
              </w:rPr>
            </w:pPr>
            <w:r>
              <w:rPr>
                <w:rFonts w:ascii="宋体" w:eastAsia="宋体" w:hAnsi="宋体" w:cs="宋体" w:hint="eastAsia"/>
                <w:b/>
                <w:bCs/>
                <w:color w:val="000000"/>
                <w:spacing w:val="0"/>
                <w:kern w:val="0"/>
                <w:sz w:val="21"/>
                <w:szCs w:val="21"/>
              </w:rPr>
              <w:t>a</w:t>
            </w:r>
          </w:p>
        </w:tc>
        <w:tc>
          <w:tcPr>
            <w:tcW w:w="1087" w:type="pct"/>
            <w:tcBorders>
              <w:tl2br w:val="nil"/>
              <w:tr2bl w:val="nil"/>
            </w:tcBorders>
            <w:shd w:val="clear" w:color="auto" w:fill="auto"/>
            <w:vAlign w:val="center"/>
          </w:tcPr>
          <w:p w:rsidR="003A55E5" w:rsidRDefault="00D361FE">
            <w:pPr>
              <w:widowControl/>
              <w:spacing w:line="240" w:lineRule="auto"/>
              <w:jc w:val="center"/>
              <w:rPr>
                <w:rFonts w:ascii="宋体" w:eastAsia="宋体" w:hAnsi="宋体" w:cs="宋体"/>
                <w:b/>
                <w:bCs/>
                <w:color w:val="000000"/>
                <w:spacing w:val="0"/>
                <w:kern w:val="0"/>
                <w:sz w:val="21"/>
                <w:szCs w:val="21"/>
              </w:rPr>
            </w:pPr>
            <w:r>
              <w:rPr>
                <w:rFonts w:ascii="宋体" w:eastAsia="宋体" w:hAnsi="宋体" w:cs="宋体" w:hint="eastAsia"/>
                <w:b/>
                <w:bCs/>
                <w:color w:val="000000"/>
                <w:spacing w:val="0"/>
                <w:kern w:val="0"/>
                <w:sz w:val="21"/>
                <w:szCs w:val="21"/>
              </w:rPr>
              <w:t>b</w:t>
            </w:r>
          </w:p>
        </w:tc>
      </w:tr>
      <w:tr w:rsidR="003A55E5">
        <w:trPr>
          <w:trHeight w:val="472"/>
        </w:trPr>
        <w:tc>
          <w:tcPr>
            <w:tcW w:w="2791" w:type="pct"/>
            <w:gridSpan w:val="2"/>
            <w:tcBorders>
              <w:tl2br w:val="nil"/>
              <w:tr2bl w:val="nil"/>
            </w:tcBorders>
            <w:vAlign w:val="center"/>
          </w:tcPr>
          <w:p w:rsidR="003A55E5" w:rsidRDefault="003A55E5">
            <w:pPr>
              <w:widowControl/>
              <w:spacing w:line="240" w:lineRule="auto"/>
              <w:jc w:val="left"/>
              <w:rPr>
                <w:rFonts w:ascii="宋体" w:eastAsia="宋体" w:hAnsi="宋体" w:cs="宋体"/>
                <w:color w:val="000000"/>
                <w:spacing w:val="0"/>
                <w:kern w:val="0"/>
                <w:sz w:val="21"/>
                <w:szCs w:val="21"/>
              </w:rPr>
            </w:pPr>
          </w:p>
        </w:tc>
        <w:tc>
          <w:tcPr>
            <w:tcW w:w="1121" w:type="pct"/>
            <w:tcBorders>
              <w:tl2br w:val="nil"/>
              <w:tr2bl w:val="nil"/>
            </w:tcBorders>
            <w:vAlign w:val="center"/>
          </w:tcPr>
          <w:p w:rsidR="003A55E5" w:rsidRDefault="00D361FE">
            <w:pPr>
              <w:widowControl/>
              <w:spacing w:line="240" w:lineRule="auto"/>
              <w:jc w:val="left"/>
              <w:rPr>
                <w:rFonts w:ascii="宋体" w:eastAsia="宋体" w:hAnsi="宋体" w:cs="宋体"/>
                <w:b/>
                <w:bCs/>
                <w:color w:val="000000"/>
                <w:spacing w:val="0"/>
                <w:kern w:val="0"/>
                <w:sz w:val="21"/>
                <w:szCs w:val="21"/>
              </w:rPr>
            </w:pPr>
            <w:r>
              <w:rPr>
                <w:rFonts w:ascii="宋体" w:eastAsia="宋体" w:hAnsi="宋体" w:cs="宋体" w:hint="eastAsia"/>
                <w:b/>
                <w:bCs/>
                <w:color w:val="000000"/>
                <w:spacing w:val="0"/>
                <w:kern w:val="0"/>
                <w:sz w:val="21"/>
                <w:szCs w:val="21"/>
              </w:rPr>
              <w:t>2025</w:t>
            </w:r>
            <w:r>
              <w:rPr>
                <w:rFonts w:ascii="宋体" w:eastAsia="宋体" w:hAnsi="宋体" w:cs="宋体" w:hint="eastAsia"/>
                <w:b/>
                <w:bCs/>
                <w:color w:val="000000"/>
                <w:spacing w:val="0"/>
                <w:kern w:val="0"/>
                <w:sz w:val="21"/>
                <w:szCs w:val="21"/>
              </w:rPr>
              <w:t>年</w:t>
            </w:r>
            <w:r>
              <w:rPr>
                <w:rFonts w:ascii="宋体" w:eastAsia="宋体" w:hAnsi="宋体" w:cs="宋体" w:hint="eastAsia"/>
                <w:b/>
                <w:bCs/>
                <w:color w:val="000000"/>
                <w:spacing w:val="0"/>
                <w:kern w:val="0"/>
                <w:sz w:val="21"/>
                <w:szCs w:val="21"/>
              </w:rPr>
              <w:t>6</w:t>
            </w:r>
            <w:r>
              <w:rPr>
                <w:rFonts w:ascii="宋体" w:eastAsia="宋体" w:hAnsi="宋体" w:cs="宋体" w:hint="eastAsia"/>
                <w:b/>
                <w:bCs/>
                <w:color w:val="000000"/>
                <w:spacing w:val="0"/>
                <w:kern w:val="0"/>
                <w:sz w:val="21"/>
                <w:szCs w:val="21"/>
              </w:rPr>
              <w:t>月</w:t>
            </w:r>
            <w:r>
              <w:rPr>
                <w:rFonts w:ascii="宋体" w:eastAsia="宋体" w:hAnsi="宋体" w:cs="宋体" w:hint="eastAsia"/>
                <w:b/>
                <w:bCs/>
                <w:color w:val="000000"/>
                <w:spacing w:val="0"/>
                <w:kern w:val="0"/>
                <w:sz w:val="21"/>
                <w:szCs w:val="21"/>
              </w:rPr>
              <w:t>30</w:t>
            </w:r>
            <w:r>
              <w:rPr>
                <w:rFonts w:ascii="宋体" w:eastAsia="宋体" w:hAnsi="宋体" w:cs="宋体" w:hint="eastAsia"/>
                <w:b/>
                <w:bCs/>
                <w:color w:val="000000"/>
                <w:spacing w:val="0"/>
                <w:kern w:val="0"/>
                <w:sz w:val="21"/>
                <w:szCs w:val="21"/>
              </w:rPr>
              <w:t>日</w:t>
            </w:r>
          </w:p>
        </w:tc>
        <w:tc>
          <w:tcPr>
            <w:tcW w:w="1087" w:type="pct"/>
            <w:tcBorders>
              <w:tl2br w:val="nil"/>
              <w:tr2bl w:val="nil"/>
            </w:tcBorders>
            <w:vAlign w:val="center"/>
          </w:tcPr>
          <w:p w:rsidR="003A55E5" w:rsidRDefault="00D361FE">
            <w:pPr>
              <w:widowControl/>
              <w:spacing w:line="240" w:lineRule="auto"/>
              <w:jc w:val="left"/>
              <w:rPr>
                <w:rFonts w:ascii="宋体" w:eastAsia="宋体" w:hAnsi="宋体" w:cs="宋体"/>
                <w:b/>
                <w:bCs/>
                <w:color w:val="000000"/>
                <w:spacing w:val="0"/>
                <w:kern w:val="0"/>
                <w:sz w:val="21"/>
                <w:szCs w:val="21"/>
              </w:rPr>
            </w:pPr>
            <w:r>
              <w:rPr>
                <w:rFonts w:ascii="宋体" w:eastAsia="宋体" w:hAnsi="宋体" w:cs="宋体" w:hint="eastAsia"/>
                <w:b/>
                <w:bCs/>
                <w:color w:val="000000"/>
                <w:spacing w:val="0"/>
                <w:kern w:val="0"/>
                <w:sz w:val="21"/>
                <w:szCs w:val="21"/>
              </w:rPr>
              <w:t>2025</w:t>
            </w:r>
            <w:r>
              <w:rPr>
                <w:rFonts w:ascii="宋体" w:eastAsia="宋体" w:hAnsi="宋体" w:cs="宋体" w:hint="eastAsia"/>
                <w:b/>
                <w:bCs/>
                <w:color w:val="000000"/>
                <w:spacing w:val="0"/>
                <w:kern w:val="0"/>
                <w:sz w:val="21"/>
                <w:szCs w:val="21"/>
              </w:rPr>
              <w:t>年</w:t>
            </w:r>
            <w:r>
              <w:rPr>
                <w:rFonts w:ascii="宋体" w:eastAsia="宋体" w:hAnsi="宋体" w:cs="宋体" w:hint="eastAsia"/>
                <w:b/>
                <w:bCs/>
                <w:color w:val="000000"/>
                <w:spacing w:val="0"/>
                <w:kern w:val="0"/>
                <w:sz w:val="21"/>
                <w:szCs w:val="21"/>
              </w:rPr>
              <w:t>3</w:t>
            </w:r>
            <w:r>
              <w:rPr>
                <w:rFonts w:ascii="宋体" w:eastAsia="宋体" w:hAnsi="宋体" w:cs="宋体" w:hint="eastAsia"/>
                <w:b/>
                <w:bCs/>
                <w:color w:val="000000"/>
                <w:spacing w:val="0"/>
                <w:kern w:val="0"/>
                <w:sz w:val="21"/>
                <w:szCs w:val="21"/>
              </w:rPr>
              <w:t>月</w:t>
            </w:r>
            <w:r>
              <w:rPr>
                <w:rFonts w:ascii="宋体" w:eastAsia="宋体" w:hAnsi="宋体" w:cs="宋体" w:hint="eastAsia"/>
                <w:b/>
                <w:bCs/>
                <w:color w:val="000000"/>
                <w:spacing w:val="0"/>
                <w:kern w:val="0"/>
                <w:sz w:val="21"/>
                <w:szCs w:val="21"/>
              </w:rPr>
              <w:t>31</w:t>
            </w:r>
            <w:r>
              <w:rPr>
                <w:rFonts w:ascii="宋体" w:eastAsia="宋体" w:hAnsi="宋体" w:cs="宋体" w:hint="eastAsia"/>
                <w:b/>
                <w:bCs/>
                <w:color w:val="000000"/>
                <w:spacing w:val="0"/>
                <w:kern w:val="0"/>
                <w:sz w:val="21"/>
                <w:szCs w:val="21"/>
              </w:rPr>
              <w:t>日</w:t>
            </w:r>
          </w:p>
        </w:tc>
      </w:tr>
      <w:tr w:rsidR="003A55E5">
        <w:trPr>
          <w:trHeight w:val="285"/>
        </w:trPr>
        <w:tc>
          <w:tcPr>
            <w:tcW w:w="5000" w:type="pct"/>
            <w:gridSpan w:val="4"/>
            <w:tcBorders>
              <w:tl2br w:val="nil"/>
              <w:tr2bl w:val="nil"/>
            </w:tcBorders>
            <w:shd w:val="clear" w:color="000000" w:fill="D9D9D9"/>
            <w:vAlign w:val="center"/>
          </w:tcPr>
          <w:p w:rsidR="003A55E5" w:rsidRDefault="00D361FE">
            <w:pPr>
              <w:widowControl/>
              <w:spacing w:line="240" w:lineRule="auto"/>
              <w:jc w:val="left"/>
              <w:rPr>
                <w:rFonts w:ascii="宋体" w:eastAsia="宋体" w:hAnsi="宋体" w:cs="宋体"/>
                <w:b/>
                <w:bCs/>
                <w:color w:val="000000"/>
                <w:spacing w:val="0"/>
                <w:kern w:val="0"/>
                <w:sz w:val="21"/>
                <w:szCs w:val="21"/>
              </w:rPr>
            </w:pPr>
            <w:r>
              <w:rPr>
                <w:rFonts w:ascii="宋体" w:eastAsia="宋体" w:hAnsi="宋体" w:cs="宋体" w:hint="eastAsia"/>
                <w:b/>
                <w:bCs/>
                <w:color w:val="000000"/>
                <w:spacing w:val="0"/>
                <w:kern w:val="0"/>
                <w:sz w:val="21"/>
                <w:szCs w:val="21"/>
              </w:rPr>
              <w:t>可用资本（数额）</w:t>
            </w:r>
          </w:p>
        </w:tc>
      </w:tr>
      <w:tr w:rsidR="003A55E5">
        <w:trPr>
          <w:trHeight w:val="285"/>
        </w:trPr>
        <w:tc>
          <w:tcPr>
            <w:tcW w:w="1063" w:type="pct"/>
            <w:tcBorders>
              <w:tl2br w:val="nil"/>
              <w:tr2bl w:val="nil"/>
            </w:tcBorders>
            <w:shd w:val="clear" w:color="auto" w:fill="auto"/>
            <w:vAlign w:val="center"/>
          </w:tcPr>
          <w:p w:rsidR="003A55E5" w:rsidRDefault="00D361FE">
            <w:pPr>
              <w:widowControl/>
              <w:spacing w:line="240" w:lineRule="auto"/>
              <w:jc w:val="righ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1</w:t>
            </w:r>
          </w:p>
        </w:tc>
        <w:tc>
          <w:tcPr>
            <w:tcW w:w="172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核心一级资本净额</w:t>
            </w:r>
          </w:p>
        </w:tc>
        <w:tc>
          <w:tcPr>
            <w:tcW w:w="1121"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596094.90</w:t>
            </w:r>
          </w:p>
        </w:tc>
        <w:tc>
          <w:tcPr>
            <w:tcW w:w="1854" w:type="dxa"/>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582</w:t>
            </w:r>
            <w:r>
              <w:rPr>
                <w:rFonts w:ascii="宋体" w:eastAsia="宋体" w:hAnsi="宋体" w:cs="宋体" w:hint="eastAsia"/>
                <w:color w:val="000000"/>
                <w:spacing w:val="0"/>
                <w:kern w:val="0"/>
                <w:sz w:val="21"/>
                <w:szCs w:val="21"/>
              </w:rPr>
              <w:t>353.40</w:t>
            </w:r>
          </w:p>
        </w:tc>
      </w:tr>
      <w:tr w:rsidR="003A55E5">
        <w:trPr>
          <w:trHeight w:val="285"/>
        </w:trPr>
        <w:tc>
          <w:tcPr>
            <w:tcW w:w="1063" w:type="pct"/>
            <w:tcBorders>
              <w:tl2br w:val="nil"/>
              <w:tr2bl w:val="nil"/>
            </w:tcBorders>
            <w:shd w:val="clear" w:color="auto" w:fill="auto"/>
            <w:vAlign w:val="center"/>
          </w:tcPr>
          <w:p w:rsidR="003A55E5" w:rsidRDefault="00D361FE">
            <w:pPr>
              <w:widowControl/>
              <w:spacing w:line="240" w:lineRule="auto"/>
              <w:jc w:val="righ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2</w:t>
            </w:r>
          </w:p>
        </w:tc>
        <w:tc>
          <w:tcPr>
            <w:tcW w:w="172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一级资本净额</w:t>
            </w:r>
          </w:p>
        </w:tc>
        <w:tc>
          <w:tcPr>
            <w:tcW w:w="1121"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600077.38</w:t>
            </w:r>
          </w:p>
        </w:tc>
        <w:tc>
          <w:tcPr>
            <w:tcW w:w="1854" w:type="dxa"/>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586</w:t>
            </w:r>
            <w:r>
              <w:rPr>
                <w:rFonts w:ascii="宋体" w:eastAsia="宋体" w:hAnsi="宋体" w:cs="宋体" w:hint="eastAsia"/>
                <w:color w:val="000000"/>
                <w:spacing w:val="0"/>
                <w:kern w:val="0"/>
                <w:sz w:val="21"/>
                <w:szCs w:val="21"/>
              </w:rPr>
              <w:t>354.49</w:t>
            </w:r>
          </w:p>
        </w:tc>
      </w:tr>
      <w:tr w:rsidR="003A55E5">
        <w:trPr>
          <w:trHeight w:val="285"/>
        </w:trPr>
        <w:tc>
          <w:tcPr>
            <w:tcW w:w="1063" w:type="pct"/>
            <w:tcBorders>
              <w:tl2br w:val="nil"/>
              <w:tr2bl w:val="nil"/>
            </w:tcBorders>
            <w:shd w:val="clear" w:color="auto" w:fill="auto"/>
            <w:vAlign w:val="center"/>
          </w:tcPr>
          <w:p w:rsidR="003A55E5" w:rsidRDefault="00D361FE">
            <w:pPr>
              <w:widowControl/>
              <w:spacing w:line="240" w:lineRule="auto"/>
              <w:jc w:val="righ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3</w:t>
            </w:r>
          </w:p>
        </w:tc>
        <w:tc>
          <w:tcPr>
            <w:tcW w:w="172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资本净额</w:t>
            </w:r>
          </w:p>
        </w:tc>
        <w:tc>
          <w:tcPr>
            <w:tcW w:w="1121" w:type="pct"/>
            <w:tcBorders>
              <w:tl2br w:val="nil"/>
              <w:tr2bl w:val="nil"/>
            </w:tcBorders>
            <w:shd w:val="clear" w:color="auto" w:fill="auto"/>
            <w:vAlign w:val="center"/>
          </w:tcPr>
          <w:p w:rsidR="003A55E5" w:rsidRDefault="00D361FE" w:rsidP="00671ED3">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6614</w:t>
            </w:r>
            <w:r w:rsidR="00671ED3">
              <w:rPr>
                <w:rFonts w:ascii="宋体" w:eastAsia="宋体" w:hAnsi="宋体" w:cs="宋体"/>
                <w:color w:val="000000"/>
                <w:spacing w:val="0"/>
                <w:kern w:val="0"/>
                <w:sz w:val="21"/>
                <w:szCs w:val="21"/>
              </w:rPr>
              <w:t>79.69</w:t>
            </w:r>
          </w:p>
        </w:tc>
        <w:tc>
          <w:tcPr>
            <w:tcW w:w="1854" w:type="dxa"/>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6</w:t>
            </w:r>
            <w:r>
              <w:rPr>
                <w:rFonts w:ascii="宋体" w:eastAsia="宋体" w:hAnsi="宋体" w:cs="宋体" w:hint="eastAsia"/>
                <w:color w:val="000000"/>
                <w:spacing w:val="0"/>
                <w:kern w:val="0"/>
                <w:sz w:val="21"/>
                <w:szCs w:val="21"/>
                <w:lang w:eastAsia="zh-TW"/>
              </w:rPr>
              <w:t>47</w:t>
            </w:r>
            <w:r>
              <w:rPr>
                <w:rFonts w:ascii="宋体" w:eastAsia="宋体" w:hAnsi="宋体" w:cs="宋体" w:hint="eastAsia"/>
                <w:color w:val="000000"/>
                <w:spacing w:val="0"/>
                <w:kern w:val="0"/>
                <w:sz w:val="21"/>
                <w:szCs w:val="21"/>
              </w:rPr>
              <w:t>462.01</w:t>
            </w:r>
          </w:p>
        </w:tc>
      </w:tr>
      <w:tr w:rsidR="003A55E5">
        <w:trPr>
          <w:trHeight w:val="285"/>
        </w:trPr>
        <w:tc>
          <w:tcPr>
            <w:tcW w:w="5000" w:type="pct"/>
            <w:gridSpan w:val="4"/>
            <w:tcBorders>
              <w:tl2br w:val="nil"/>
              <w:tr2bl w:val="nil"/>
            </w:tcBorders>
            <w:shd w:val="clear" w:color="000000" w:fill="D9D9D9"/>
            <w:vAlign w:val="center"/>
          </w:tcPr>
          <w:p w:rsidR="003A55E5" w:rsidRDefault="00D361FE">
            <w:pPr>
              <w:widowControl/>
              <w:spacing w:line="240" w:lineRule="auto"/>
              <w:jc w:val="left"/>
              <w:rPr>
                <w:rFonts w:ascii="宋体" w:eastAsia="宋体" w:hAnsi="宋体" w:cs="宋体"/>
                <w:b/>
                <w:bCs/>
                <w:color w:val="000000"/>
                <w:spacing w:val="0"/>
                <w:kern w:val="0"/>
                <w:sz w:val="21"/>
                <w:szCs w:val="21"/>
              </w:rPr>
            </w:pPr>
            <w:r>
              <w:rPr>
                <w:rFonts w:ascii="宋体" w:eastAsia="宋体" w:hAnsi="宋体" w:cs="宋体" w:hint="eastAsia"/>
                <w:b/>
                <w:bCs/>
                <w:color w:val="000000"/>
                <w:spacing w:val="0"/>
                <w:kern w:val="0"/>
                <w:sz w:val="21"/>
                <w:szCs w:val="21"/>
              </w:rPr>
              <w:t>风险加权资产（数额）</w:t>
            </w:r>
          </w:p>
        </w:tc>
      </w:tr>
      <w:tr w:rsidR="003A55E5">
        <w:trPr>
          <w:trHeight w:val="285"/>
        </w:trPr>
        <w:tc>
          <w:tcPr>
            <w:tcW w:w="1063" w:type="pct"/>
            <w:tcBorders>
              <w:tl2br w:val="nil"/>
              <w:tr2bl w:val="nil"/>
            </w:tcBorders>
            <w:shd w:val="clear" w:color="auto" w:fill="auto"/>
            <w:vAlign w:val="center"/>
          </w:tcPr>
          <w:p w:rsidR="003A55E5" w:rsidRDefault="00D361FE">
            <w:pPr>
              <w:widowControl/>
              <w:spacing w:line="240" w:lineRule="auto"/>
              <w:jc w:val="righ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4</w:t>
            </w:r>
          </w:p>
        </w:tc>
        <w:tc>
          <w:tcPr>
            <w:tcW w:w="172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风险加权资产</w:t>
            </w:r>
          </w:p>
        </w:tc>
        <w:tc>
          <w:tcPr>
            <w:tcW w:w="1121" w:type="pct"/>
            <w:tcBorders>
              <w:tl2br w:val="nil"/>
              <w:tr2bl w:val="nil"/>
            </w:tcBorders>
            <w:shd w:val="clear" w:color="auto" w:fill="auto"/>
            <w:vAlign w:val="center"/>
          </w:tcPr>
          <w:p w:rsidR="003A55E5" w:rsidRDefault="00D361FE" w:rsidP="00671ED3">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466731</w:t>
            </w:r>
            <w:r w:rsidR="00671ED3">
              <w:rPr>
                <w:rFonts w:ascii="宋体" w:eastAsia="宋体" w:hAnsi="宋体" w:cs="宋体"/>
                <w:color w:val="000000"/>
                <w:spacing w:val="0"/>
                <w:kern w:val="0"/>
                <w:sz w:val="21"/>
                <w:szCs w:val="21"/>
              </w:rPr>
              <w:t>5.83</w:t>
            </w:r>
            <w:r>
              <w:rPr>
                <w:rFonts w:ascii="宋体" w:eastAsia="宋体" w:hAnsi="宋体" w:cs="宋体" w:hint="eastAsia"/>
                <w:color w:val="000000"/>
                <w:spacing w:val="0"/>
                <w:kern w:val="0"/>
                <w:sz w:val="21"/>
                <w:szCs w:val="21"/>
              </w:rPr>
              <w:t xml:space="preserve"> </w:t>
            </w:r>
          </w:p>
        </w:tc>
        <w:tc>
          <w:tcPr>
            <w:tcW w:w="108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lang w:eastAsia="zh-TW"/>
              </w:rPr>
            </w:pPr>
            <w:r>
              <w:rPr>
                <w:rFonts w:ascii="宋体" w:eastAsia="宋体" w:hAnsi="宋体" w:cs="宋体" w:hint="eastAsia"/>
                <w:color w:val="000000"/>
                <w:sz w:val="21"/>
                <w:szCs w:val="21"/>
                <w:lang w:eastAsia="zh-TW" w:bidi="ar"/>
              </w:rPr>
              <w:t>4</w:t>
            </w:r>
            <w:r>
              <w:rPr>
                <w:rFonts w:ascii="宋体" w:eastAsia="宋体" w:hAnsi="宋体" w:cs="宋体" w:hint="eastAsia"/>
                <w:color w:val="000000"/>
                <w:sz w:val="21"/>
                <w:szCs w:val="21"/>
                <w:lang w:eastAsia="zh-TW" w:bidi="ar"/>
              </w:rPr>
              <w:t>640422.77</w:t>
            </w:r>
          </w:p>
        </w:tc>
      </w:tr>
      <w:tr w:rsidR="003A55E5">
        <w:trPr>
          <w:trHeight w:val="285"/>
        </w:trPr>
        <w:tc>
          <w:tcPr>
            <w:tcW w:w="5000" w:type="pct"/>
            <w:gridSpan w:val="4"/>
            <w:tcBorders>
              <w:tl2br w:val="nil"/>
              <w:tr2bl w:val="nil"/>
            </w:tcBorders>
            <w:shd w:val="clear" w:color="000000" w:fill="D9D9D9"/>
            <w:vAlign w:val="center"/>
          </w:tcPr>
          <w:p w:rsidR="003A55E5" w:rsidRDefault="00D361FE">
            <w:pPr>
              <w:widowControl/>
              <w:spacing w:line="240" w:lineRule="auto"/>
              <w:jc w:val="left"/>
              <w:rPr>
                <w:rFonts w:ascii="宋体" w:eastAsia="宋体" w:hAnsi="宋体" w:cs="宋体"/>
                <w:b/>
                <w:bCs/>
                <w:color w:val="000000"/>
                <w:spacing w:val="0"/>
                <w:kern w:val="0"/>
                <w:sz w:val="21"/>
                <w:szCs w:val="21"/>
              </w:rPr>
            </w:pPr>
            <w:r>
              <w:rPr>
                <w:rFonts w:ascii="宋体" w:eastAsia="宋体" w:hAnsi="宋体" w:cs="宋体" w:hint="eastAsia"/>
                <w:b/>
                <w:bCs/>
                <w:color w:val="000000"/>
                <w:spacing w:val="0"/>
                <w:kern w:val="0"/>
                <w:sz w:val="21"/>
                <w:szCs w:val="21"/>
              </w:rPr>
              <w:t>资本充足率</w:t>
            </w:r>
          </w:p>
        </w:tc>
      </w:tr>
      <w:tr w:rsidR="003A55E5">
        <w:trPr>
          <w:trHeight w:val="285"/>
        </w:trPr>
        <w:tc>
          <w:tcPr>
            <w:tcW w:w="1063" w:type="pct"/>
            <w:tcBorders>
              <w:tl2br w:val="nil"/>
              <w:tr2bl w:val="nil"/>
            </w:tcBorders>
            <w:shd w:val="clear" w:color="auto" w:fill="auto"/>
            <w:vAlign w:val="center"/>
          </w:tcPr>
          <w:p w:rsidR="003A55E5" w:rsidRDefault="00D361FE">
            <w:pPr>
              <w:widowControl/>
              <w:spacing w:line="240" w:lineRule="auto"/>
              <w:jc w:val="righ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5</w:t>
            </w:r>
          </w:p>
        </w:tc>
        <w:tc>
          <w:tcPr>
            <w:tcW w:w="172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核心一级资本充足率（</w:t>
            </w:r>
            <w:r>
              <w:rPr>
                <w:rFonts w:ascii="宋体" w:eastAsia="宋体" w:hAnsi="宋体" w:cs="宋体" w:hint="eastAsia"/>
                <w:color w:val="000000"/>
                <w:spacing w:val="0"/>
                <w:kern w:val="0"/>
                <w:sz w:val="21"/>
                <w:szCs w:val="21"/>
              </w:rPr>
              <w:t>%</w:t>
            </w:r>
            <w:r>
              <w:rPr>
                <w:rFonts w:ascii="宋体" w:eastAsia="宋体" w:hAnsi="宋体" w:cs="宋体" w:hint="eastAsia"/>
                <w:color w:val="000000"/>
                <w:spacing w:val="0"/>
                <w:kern w:val="0"/>
                <w:sz w:val="21"/>
                <w:szCs w:val="21"/>
              </w:rPr>
              <w:t>）</w:t>
            </w:r>
          </w:p>
        </w:tc>
        <w:tc>
          <w:tcPr>
            <w:tcW w:w="1121"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 xml:space="preserve">　</w:t>
            </w:r>
            <w:r>
              <w:rPr>
                <w:rFonts w:ascii="宋体" w:eastAsia="宋体" w:hAnsi="宋体" w:cs="宋体" w:hint="eastAsia"/>
                <w:color w:val="000000"/>
                <w:spacing w:val="0"/>
                <w:kern w:val="0"/>
                <w:sz w:val="21"/>
                <w:szCs w:val="21"/>
              </w:rPr>
              <w:t>12.77</w:t>
            </w:r>
          </w:p>
        </w:tc>
        <w:tc>
          <w:tcPr>
            <w:tcW w:w="108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 xml:space="preserve">　</w:t>
            </w:r>
            <w:r>
              <w:rPr>
                <w:rFonts w:ascii="宋体" w:eastAsia="宋体" w:hAnsi="宋体" w:cs="宋体" w:hint="eastAsia"/>
                <w:color w:val="000000"/>
                <w:spacing w:val="0"/>
                <w:kern w:val="0"/>
                <w:sz w:val="21"/>
                <w:szCs w:val="21"/>
              </w:rPr>
              <w:t>1</w:t>
            </w:r>
            <w:r>
              <w:rPr>
                <w:rFonts w:ascii="宋体" w:eastAsia="宋体" w:hAnsi="宋体" w:cs="宋体"/>
                <w:color w:val="000000"/>
                <w:spacing w:val="0"/>
                <w:kern w:val="0"/>
                <w:sz w:val="21"/>
                <w:szCs w:val="21"/>
              </w:rPr>
              <w:t>2.</w:t>
            </w:r>
            <w:r>
              <w:rPr>
                <w:rFonts w:ascii="宋体" w:eastAsia="宋体" w:hAnsi="宋体" w:cs="宋体" w:hint="eastAsia"/>
                <w:color w:val="000000"/>
                <w:spacing w:val="0"/>
                <w:kern w:val="0"/>
                <w:sz w:val="21"/>
                <w:szCs w:val="21"/>
              </w:rPr>
              <w:t>55</w:t>
            </w:r>
          </w:p>
        </w:tc>
      </w:tr>
      <w:tr w:rsidR="003A55E5">
        <w:trPr>
          <w:trHeight w:val="285"/>
        </w:trPr>
        <w:tc>
          <w:tcPr>
            <w:tcW w:w="1063" w:type="pct"/>
            <w:tcBorders>
              <w:tl2br w:val="nil"/>
              <w:tr2bl w:val="nil"/>
            </w:tcBorders>
            <w:shd w:val="clear" w:color="auto" w:fill="auto"/>
            <w:vAlign w:val="center"/>
          </w:tcPr>
          <w:p w:rsidR="003A55E5" w:rsidRDefault="00D361FE">
            <w:pPr>
              <w:widowControl/>
              <w:spacing w:line="240" w:lineRule="auto"/>
              <w:jc w:val="righ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6</w:t>
            </w:r>
          </w:p>
        </w:tc>
        <w:tc>
          <w:tcPr>
            <w:tcW w:w="172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一级资本充足率（</w:t>
            </w:r>
            <w:r>
              <w:rPr>
                <w:rFonts w:ascii="宋体" w:eastAsia="宋体" w:hAnsi="宋体" w:cs="宋体" w:hint="eastAsia"/>
                <w:color w:val="000000"/>
                <w:spacing w:val="0"/>
                <w:kern w:val="0"/>
                <w:sz w:val="21"/>
                <w:szCs w:val="21"/>
              </w:rPr>
              <w:t>%</w:t>
            </w:r>
            <w:r>
              <w:rPr>
                <w:rFonts w:ascii="宋体" w:eastAsia="宋体" w:hAnsi="宋体" w:cs="宋体" w:hint="eastAsia"/>
                <w:color w:val="000000"/>
                <w:spacing w:val="0"/>
                <w:kern w:val="0"/>
                <w:sz w:val="21"/>
                <w:szCs w:val="21"/>
              </w:rPr>
              <w:t>）</w:t>
            </w:r>
          </w:p>
        </w:tc>
        <w:tc>
          <w:tcPr>
            <w:tcW w:w="1121"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 xml:space="preserve">　</w:t>
            </w:r>
            <w:r>
              <w:rPr>
                <w:rFonts w:ascii="宋体" w:eastAsia="宋体" w:hAnsi="宋体" w:cs="宋体" w:hint="eastAsia"/>
                <w:color w:val="000000"/>
                <w:spacing w:val="0"/>
                <w:kern w:val="0"/>
                <w:sz w:val="21"/>
                <w:szCs w:val="21"/>
              </w:rPr>
              <w:t>12.86</w:t>
            </w:r>
          </w:p>
        </w:tc>
        <w:tc>
          <w:tcPr>
            <w:tcW w:w="108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 xml:space="preserve">　</w:t>
            </w:r>
            <w:r>
              <w:rPr>
                <w:rFonts w:ascii="宋体" w:eastAsia="宋体" w:hAnsi="宋体" w:cs="宋体" w:hint="eastAsia"/>
                <w:color w:val="000000"/>
                <w:spacing w:val="0"/>
                <w:kern w:val="0"/>
                <w:sz w:val="21"/>
                <w:szCs w:val="21"/>
              </w:rPr>
              <w:t>1</w:t>
            </w:r>
            <w:r>
              <w:rPr>
                <w:rFonts w:ascii="宋体" w:eastAsia="宋体" w:hAnsi="宋体" w:cs="宋体"/>
                <w:color w:val="000000"/>
                <w:spacing w:val="0"/>
                <w:kern w:val="0"/>
                <w:sz w:val="21"/>
                <w:szCs w:val="21"/>
              </w:rPr>
              <w:t>2.</w:t>
            </w:r>
            <w:r>
              <w:rPr>
                <w:rFonts w:ascii="宋体" w:eastAsia="宋体" w:hAnsi="宋体" w:cs="宋体" w:hint="eastAsia"/>
                <w:color w:val="000000"/>
                <w:spacing w:val="0"/>
                <w:kern w:val="0"/>
                <w:sz w:val="21"/>
                <w:szCs w:val="21"/>
              </w:rPr>
              <w:t>64</w:t>
            </w:r>
          </w:p>
        </w:tc>
      </w:tr>
      <w:tr w:rsidR="003A55E5">
        <w:trPr>
          <w:trHeight w:val="285"/>
        </w:trPr>
        <w:tc>
          <w:tcPr>
            <w:tcW w:w="1063" w:type="pct"/>
            <w:tcBorders>
              <w:tl2br w:val="nil"/>
              <w:tr2bl w:val="nil"/>
            </w:tcBorders>
            <w:shd w:val="clear" w:color="auto" w:fill="auto"/>
            <w:vAlign w:val="center"/>
          </w:tcPr>
          <w:p w:rsidR="003A55E5" w:rsidRDefault="00D361FE">
            <w:pPr>
              <w:widowControl/>
              <w:spacing w:line="240" w:lineRule="auto"/>
              <w:jc w:val="righ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7</w:t>
            </w:r>
          </w:p>
        </w:tc>
        <w:tc>
          <w:tcPr>
            <w:tcW w:w="172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资本充足率（</w:t>
            </w:r>
            <w:r>
              <w:rPr>
                <w:rFonts w:ascii="宋体" w:eastAsia="宋体" w:hAnsi="宋体" w:cs="宋体" w:hint="eastAsia"/>
                <w:color w:val="000000"/>
                <w:spacing w:val="0"/>
                <w:kern w:val="0"/>
                <w:sz w:val="21"/>
                <w:szCs w:val="21"/>
              </w:rPr>
              <w:t>%</w:t>
            </w:r>
            <w:r>
              <w:rPr>
                <w:rFonts w:ascii="宋体" w:eastAsia="宋体" w:hAnsi="宋体" w:cs="宋体" w:hint="eastAsia"/>
                <w:color w:val="000000"/>
                <w:spacing w:val="0"/>
                <w:kern w:val="0"/>
                <w:sz w:val="21"/>
                <w:szCs w:val="21"/>
              </w:rPr>
              <w:t>）</w:t>
            </w:r>
          </w:p>
        </w:tc>
        <w:tc>
          <w:tcPr>
            <w:tcW w:w="1121"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 xml:space="preserve">　</w:t>
            </w:r>
            <w:r>
              <w:rPr>
                <w:rFonts w:ascii="宋体" w:eastAsia="宋体" w:hAnsi="宋体" w:cs="宋体" w:hint="eastAsia"/>
                <w:color w:val="000000"/>
                <w:spacing w:val="0"/>
                <w:kern w:val="0"/>
                <w:sz w:val="21"/>
                <w:szCs w:val="21"/>
              </w:rPr>
              <w:t>1</w:t>
            </w:r>
            <w:r>
              <w:rPr>
                <w:rFonts w:ascii="宋体" w:eastAsia="宋体" w:hAnsi="宋体" w:cs="宋体" w:hint="eastAsia"/>
                <w:color w:val="000000"/>
                <w:spacing w:val="0"/>
                <w:kern w:val="0"/>
                <w:sz w:val="21"/>
                <w:szCs w:val="21"/>
              </w:rPr>
              <w:t>4.17</w:t>
            </w:r>
          </w:p>
        </w:tc>
        <w:tc>
          <w:tcPr>
            <w:tcW w:w="108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 xml:space="preserve">　</w:t>
            </w:r>
            <w:r>
              <w:rPr>
                <w:rFonts w:ascii="宋体" w:eastAsia="宋体" w:hAnsi="宋体" w:cs="宋体" w:hint="eastAsia"/>
                <w:color w:val="000000"/>
                <w:spacing w:val="0"/>
                <w:kern w:val="0"/>
                <w:sz w:val="21"/>
                <w:szCs w:val="21"/>
              </w:rPr>
              <w:t>1</w:t>
            </w:r>
            <w:r>
              <w:rPr>
                <w:rFonts w:ascii="宋体" w:eastAsia="宋体" w:hAnsi="宋体" w:cs="宋体"/>
                <w:color w:val="000000"/>
                <w:spacing w:val="0"/>
                <w:kern w:val="0"/>
                <w:sz w:val="21"/>
                <w:szCs w:val="21"/>
              </w:rPr>
              <w:t>3.</w:t>
            </w:r>
            <w:r>
              <w:rPr>
                <w:rFonts w:ascii="宋体" w:eastAsia="宋体" w:hAnsi="宋体" w:cs="宋体" w:hint="eastAsia"/>
                <w:color w:val="000000"/>
                <w:spacing w:val="0"/>
                <w:kern w:val="0"/>
                <w:sz w:val="21"/>
                <w:szCs w:val="21"/>
              </w:rPr>
              <w:t>95</w:t>
            </w:r>
          </w:p>
        </w:tc>
      </w:tr>
      <w:tr w:rsidR="003A55E5">
        <w:trPr>
          <w:trHeight w:val="285"/>
        </w:trPr>
        <w:tc>
          <w:tcPr>
            <w:tcW w:w="5000" w:type="pct"/>
            <w:gridSpan w:val="4"/>
            <w:tcBorders>
              <w:tl2br w:val="nil"/>
              <w:tr2bl w:val="nil"/>
            </w:tcBorders>
            <w:shd w:val="clear" w:color="000000" w:fill="D9D9D9"/>
            <w:vAlign w:val="center"/>
          </w:tcPr>
          <w:p w:rsidR="003A55E5" w:rsidRDefault="00D361FE">
            <w:pPr>
              <w:widowControl/>
              <w:spacing w:line="240" w:lineRule="auto"/>
              <w:jc w:val="left"/>
              <w:rPr>
                <w:rFonts w:ascii="宋体" w:eastAsia="宋体" w:hAnsi="宋体" w:cs="宋体"/>
                <w:b/>
                <w:bCs/>
                <w:color w:val="000000"/>
                <w:spacing w:val="0"/>
                <w:kern w:val="0"/>
                <w:sz w:val="21"/>
                <w:szCs w:val="21"/>
              </w:rPr>
            </w:pPr>
            <w:r>
              <w:rPr>
                <w:rFonts w:ascii="宋体" w:eastAsia="宋体" w:hAnsi="宋体" w:cs="宋体" w:hint="eastAsia"/>
                <w:b/>
                <w:bCs/>
                <w:color w:val="000000"/>
                <w:spacing w:val="0"/>
                <w:kern w:val="0"/>
                <w:sz w:val="21"/>
                <w:szCs w:val="21"/>
              </w:rPr>
              <w:t>其他各级资本要求</w:t>
            </w:r>
          </w:p>
        </w:tc>
      </w:tr>
      <w:tr w:rsidR="003A55E5">
        <w:trPr>
          <w:trHeight w:val="285"/>
        </w:trPr>
        <w:tc>
          <w:tcPr>
            <w:tcW w:w="1063" w:type="pct"/>
            <w:tcBorders>
              <w:tl2br w:val="nil"/>
              <w:tr2bl w:val="nil"/>
            </w:tcBorders>
            <w:shd w:val="clear" w:color="auto" w:fill="auto"/>
            <w:vAlign w:val="center"/>
          </w:tcPr>
          <w:p w:rsidR="003A55E5" w:rsidRDefault="00D361FE">
            <w:pPr>
              <w:widowControl/>
              <w:spacing w:line="240" w:lineRule="auto"/>
              <w:jc w:val="righ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8</w:t>
            </w:r>
          </w:p>
        </w:tc>
        <w:tc>
          <w:tcPr>
            <w:tcW w:w="172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储备资本要求（</w:t>
            </w:r>
            <w:r>
              <w:rPr>
                <w:rFonts w:ascii="宋体" w:eastAsia="宋体" w:hAnsi="宋体" w:cs="宋体" w:hint="eastAsia"/>
                <w:color w:val="000000"/>
                <w:spacing w:val="0"/>
                <w:kern w:val="0"/>
                <w:sz w:val="21"/>
                <w:szCs w:val="21"/>
              </w:rPr>
              <w:t>%</w:t>
            </w:r>
            <w:r>
              <w:rPr>
                <w:rFonts w:ascii="宋体" w:eastAsia="宋体" w:hAnsi="宋体" w:cs="宋体" w:hint="eastAsia"/>
                <w:color w:val="000000"/>
                <w:spacing w:val="0"/>
                <w:kern w:val="0"/>
                <w:sz w:val="21"/>
                <w:szCs w:val="21"/>
              </w:rPr>
              <w:t>）</w:t>
            </w:r>
          </w:p>
        </w:tc>
        <w:tc>
          <w:tcPr>
            <w:tcW w:w="1121"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 xml:space="preserve">　</w:t>
            </w:r>
            <w:r>
              <w:rPr>
                <w:rFonts w:ascii="宋体" w:eastAsia="宋体" w:hAnsi="宋体" w:cs="宋体" w:hint="eastAsia"/>
                <w:color w:val="000000"/>
                <w:spacing w:val="0"/>
                <w:kern w:val="0"/>
                <w:sz w:val="21"/>
                <w:szCs w:val="21"/>
              </w:rPr>
              <w:t>2</w:t>
            </w:r>
            <w:r>
              <w:rPr>
                <w:rFonts w:ascii="宋体" w:eastAsia="宋体" w:hAnsi="宋体" w:cs="宋体"/>
                <w:color w:val="000000"/>
                <w:spacing w:val="0"/>
                <w:kern w:val="0"/>
                <w:sz w:val="21"/>
                <w:szCs w:val="21"/>
              </w:rPr>
              <w:t>.5</w:t>
            </w:r>
          </w:p>
        </w:tc>
        <w:tc>
          <w:tcPr>
            <w:tcW w:w="108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lang w:eastAsia="zh-TW"/>
              </w:rPr>
            </w:pPr>
            <w:r>
              <w:rPr>
                <w:rFonts w:ascii="宋体" w:eastAsia="宋体" w:hAnsi="宋体" w:cs="宋体" w:hint="eastAsia"/>
                <w:color w:val="000000"/>
                <w:spacing w:val="0"/>
                <w:kern w:val="0"/>
                <w:sz w:val="21"/>
                <w:szCs w:val="21"/>
                <w:lang w:eastAsia="zh-TW"/>
              </w:rPr>
              <w:t xml:space="preserve">　</w:t>
            </w:r>
            <w:r>
              <w:rPr>
                <w:rFonts w:ascii="宋体" w:eastAsia="宋体" w:hAnsi="宋体" w:cs="宋体" w:hint="eastAsia"/>
                <w:color w:val="000000"/>
                <w:spacing w:val="0"/>
                <w:kern w:val="0"/>
                <w:sz w:val="21"/>
                <w:szCs w:val="21"/>
              </w:rPr>
              <w:t>2</w:t>
            </w:r>
            <w:r>
              <w:rPr>
                <w:rFonts w:ascii="宋体" w:eastAsia="宋体" w:hAnsi="宋体" w:cs="宋体"/>
                <w:color w:val="000000"/>
                <w:spacing w:val="0"/>
                <w:kern w:val="0"/>
                <w:sz w:val="21"/>
                <w:szCs w:val="21"/>
              </w:rPr>
              <w:t>.5</w:t>
            </w:r>
          </w:p>
        </w:tc>
      </w:tr>
      <w:tr w:rsidR="003A55E5">
        <w:trPr>
          <w:trHeight w:val="285"/>
        </w:trPr>
        <w:tc>
          <w:tcPr>
            <w:tcW w:w="1063" w:type="pct"/>
            <w:tcBorders>
              <w:tl2br w:val="nil"/>
              <w:tr2bl w:val="nil"/>
            </w:tcBorders>
            <w:shd w:val="clear" w:color="auto" w:fill="auto"/>
            <w:vAlign w:val="center"/>
          </w:tcPr>
          <w:p w:rsidR="003A55E5" w:rsidRDefault="00D361FE">
            <w:pPr>
              <w:widowControl/>
              <w:spacing w:line="240" w:lineRule="auto"/>
              <w:jc w:val="righ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9</w:t>
            </w:r>
          </w:p>
        </w:tc>
        <w:tc>
          <w:tcPr>
            <w:tcW w:w="172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逆周期资本要求（</w:t>
            </w:r>
            <w:r>
              <w:rPr>
                <w:rFonts w:ascii="宋体" w:eastAsia="宋体" w:hAnsi="宋体" w:cs="宋体" w:hint="eastAsia"/>
                <w:color w:val="000000"/>
                <w:spacing w:val="0"/>
                <w:kern w:val="0"/>
                <w:sz w:val="21"/>
                <w:szCs w:val="21"/>
              </w:rPr>
              <w:t>%</w:t>
            </w:r>
            <w:r>
              <w:rPr>
                <w:rFonts w:ascii="宋体" w:eastAsia="宋体" w:hAnsi="宋体" w:cs="宋体" w:hint="eastAsia"/>
                <w:color w:val="000000"/>
                <w:spacing w:val="0"/>
                <w:kern w:val="0"/>
                <w:sz w:val="21"/>
                <w:szCs w:val="21"/>
              </w:rPr>
              <w:t>）</w:t>
            </w:r>
          </w:p>
        </w:tc>
        <w:tc>
          <w:tcPr>
            <w:tcW w:w="1121"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 xml:space="preserve">　</w:t>
            </w:r>
            <w:r>
              <w:rPr>
                <w:rFonts w:ascii="宋体" w:eastAsia="宋体" w:hAnsi="宋体" w:cs="宋体" w:hint="eastAsia"/>
                <w:color w:val="000000"/>
                <w:spacing w:val="0"/>
                <w:kern w:val="0"/>
                <w:sz w:val="21"/>
                <w:szCs w:val="21"/>
              </w:rPr>
              <w:t>0</w:t>
            </w:r>
          </w:p>
        </w:tc>
        <w:tc>
          <w:tcPr>
            <w:tcW w:w="108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lang w:eastAsia="zh-TW"/>
              </w:rPr>
            </w:pPr>
            <w:r>
              <w:rPr>
                <w:rFonts w:ascii="宋体" w:eastAsia="宋体" w:hAnsi="宋体" w:cs="宋体" w:hint="eastAsia"/>
                <w:color w:val="000000"/>
                <w:spacing w:val="0"/>
                <w:kern w:val="0"/>
                <w:sz w:val="21"/>
                <w:szCs w:val="21"/>
                <w:lang w:eastAsia="zh-TW"/>
              </w:rPr>
              <w:t xml:space="preserve">　</w:t>
            </w:r>
            <w:r>
              <w:rPr>
                <w:rFonts w:ascii="宋体" w:eastAsia="宋体" w:hAnsi="宋体" w:cs="宋体" w:hint="eastAsia"/>
                <w:color w:val="000000"/>
                <w:spacing w:val="0"/>
                <w:kern w:val="0"/>
                <w:sz w:val="21"/>
                <w:szCs w:val="21"/>
              </w:rPr>
              <w:t>0</w:t>
            </w:r>
          </w:p>
        </w:tc>
      </w:tr>
      <w:tr w:rsidR="003A55E5">
        <w:trPr>
          <w:trHeight w:val="525"/>
        </w:trPr>
        <w:tc>
          <w:tcPr>
            <w:tcW w:w="1063" w:type="pct"/>
            <w:tcBorders>
              <w:tl2br w:val="nil"/>
              <w:tr2bl w:val="nil"/>
            </w:tcBorders>
            <w:shd w:val="clear" w:color="auto" w:fill="auto"/>
            <w:vAlign w:val="center"/>
          </w:tcPr>
          <w:p w:rsidR="003A55E5" w:rsidRDefault="00D361FE">
            <w:pPr>
              <w:widowControl/>
              <w:spacing w:line="240" w:lineRule="auto"/>
              <w:jc w:val="righ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lastRenderedPageBreak/>
              <w:t>10</w:t>
            </w:r>
          </w:p>
        </w:tc>
        <w:tc>
          <w:tcPr>
            <w:tcW w:w="172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全球系统重要性银行或国内系统重要性银行附加资本要求（</w:t>
            </w:r>
            <w:r>
              <w:rPr>
                <w:rFonts w:ascii="宋体" w:eastAsia="宋体" w:hAnsi="宋体" w:cs="宋体" w:hint="eastAsia"/>
                <w:color w:val="000000"/>
                <w:spacing w:val="0"/>
                <w:kern w:val="0"/>
                <w:sz w:val="21"/>
                <w:szCs w:val="21"/>
              </w:rPr>
              <w:t>%</w:t>
            </w:r>
            <w:r>
              <w:rPr>
                <w:rFonts w:ascii="宋体" w:eastAsia="宋体" w:hAnsi="宋体" w:cs="宋体" w:hint="eastAsia"/>
                <w:color w:val="000000"/>
                <w:spacing w:val="0"/>
                <w:kern w:val="0"/>
                <w:sz w:val="21"/>
                <w:szCs w:val="21"/>
              </w:rPr>
              <w:t>）</w:t>
            </w:r>
          </w:p>
        </w:tc>
        <w:tc>
          <w:tcPr>
            <w:tcW w:w="1121" w:type="pct"/>
            <w:tcBorders>
              <w:tl2br w:val="nil"/>
              <w:tr2bl w:val="nil"/>
            </w:tcBorders>
            <w:shd w:val="clear" w:color="000000" w:fill="BEBEBE"/>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 xml:space="preserve">　</w:t>
            </w:r>
          </w:p>
        </w:tc>
        <w:tc>
          <w:tcPr>
            <w:tcW w:w="1087" w:type="pct"/>
            <w:tcBorders>
              <w:tl2br w:val="nil"/>
              <w:tr2bl w:val="nil"/>
            </w:tcBorders>
            <w:shd w:val="clear" w:color="000000" w:fill="BEBEBE"/>
            <w:vAlign w:val="center"/>
          </w:tcPr>
          <w:p w:rsidR="003A55E5" w:rsidRDefault="003A55E5">
            <w:pPr>
              <w:widowControl/>
              <w:spacing w:line="240" w:lineRule="auto"/>
              <w:jc w:val="left"/>
              <w:rPr>
                <w:rFonts w:ascii="宋体" w:eastAsia="宋体" w:hAnsi="宋体" w:cs="宋体"/>
                <w:color w:val="000000"/>
                <w:spacing w:val="0"/>
                <w:kern w:val="0"/>
                <w:sz w:val="21"/>
                <w:szCs w:val="21"/>
                <w:lang w:eastAsia="zh-TW"/>
              </w:rPr>
            </w:pPr>
          </w:p>
        </w:tc>
      </w:tr>
      <w:tr w:rsidR="003A55E5">
        <w:trPr>
          <w:trHeight w:val="525"/>
        </w:trPr>
        <w:tc>
          <w:tcPr>
            <w:tcW w:w="1063" w:type="pct"/>
            <w:tcBorders>
              <w:tl2br w:val="nil"/>
              <w:tr2bl w:val="nil"/>
            </w:tcBorders>
            <w:shd w:val="clear" w:color="auto" w:fill="auto"/>
            <w:vAlign w:val="center"/>
          </w:tcPr>
          <w:p w:rsidR="003A55E5" w:rsidRDefault="00D361FE">
            <w:pPr>
              <w:widowControl/>
              <w:spacing w:line="240" w:lineRule="auto"/>
              <w:jc w:val="righ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11</w:t>
            </w:r>
          </w:p>
        </w:tc>
        <w:tc>
          <w:tcPr>
            <w:tcW w:w="172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其他各级资本要求（</w:t>
            </w:r>
            <w:r>
              <w:rPr>
                <w:rFonts w:ascii="宋体" w:eastAsia="宋体" w:hAnsi="宋体" w:cs="宋体" w:hint="eastAsia"/>
                <w:color w:val="000000"/>
                <w:spacing w:val="0"/>
                <w:kern w:val="0"/>
                <w:sz w:val="21"/>
                <w:szCs w:val="21"/>
              </w:rPr>
              <w:t>%</w:t>
            </w:r>
            <w:r>
              <w:rPr>
                <w:rFonts w:ascii="宋体" w:eastAsia="宋体" w:hAnsi="宋体" w:cs="宋体" w:hint="eastAsia"/>
                <w:color w:val="000000"/>
                <w:spacing w:val="0"/>
                <w:kern w:val="0"/>
                <w:sz w:val="21"/>
                <w:szCs w:val="21"/>
              </w:rPr>
              <w:t>）（</w:t>
            </w:r>
            <w:r>
              <w:rPr>
                <w:rFonts w:ascii="宋体" w:eastAsia="宋体" w:hAnsi="宋体" w:cs="宋体" w:hint="eastAsia"/>
                <w:color w:val="000000"/>
                <w:spacing w:val="0"/>
                <w:kern w:val="0"/>
                <w:sz w:val="21"/>
                <w:szCs w:val="21"/>
              </w:rPr>
              <w:t>8+9+10</w:t>
            </w:r>
            <w:r>
              <w:rPr>
                <w:rFonts w:ascii="宋体" w:eastAsia="宋体" w:hAnsi="宋体" w:cs="宋体" w:hint="eastAsia"/>
                <w:color w:val="000000"/>
                <w:spacing w:val="0"/>
                <w:kern w:val="0"/>
                <w:sz w:val="21"/>
                <w:szCs w:val="21"/>
              </w:rPr>
              <w:t>）</w:t>
            </w:r>
          </w:p>
        </w:tc>
        <w:tc>
          <w:tcPr>
            <w:tcW w:w="1121"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 xml:space="preserve">　</w:t>
            </w:r>
            <w:r>
              <w:rPr>
                <w:rFonts w:ascii="宋体" w:eastAsia="宋体" w:hAnsi="宋体" w:cs="宋体" w:hint="eastAsia"/>
                <w:color w:val="000000"/>
                <w:spacing w:val="0"/>
                <w:kern w:val="0"/>
                <w:sz w:val="21"/>
                <w:szCs w:val="21"/>
              </w:rPr>
              <w:t>2</w:t>
            </w:r>
            <w:r>
              <w:rPr>
                <w:rFonts w:ascii="宋体" w:eastAsia="宋体" w:hAnsi="宋体" w:cs="宋体"/>
                <w:color w:val="000000"/>
                <w:spacing w:val="0"/>
                <w:kern w:val="0"/>
                <w:sz w:val="21"/>
                <w:szCs w:val="21"/>
              </w:rPr>
              <w:t>.5</w:t>
            </w:r>
          </w:p>
        </w:tc>
        <w:tc>
          <w:tcPr>
            <w:tcW w:w="108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lang w:eastAsia="zh-TW"/>
              </w:rPr>
            </w:pPr>
            <w:r>
              <w:rPr>
                <w:rFonts w:ascii="宋体" w:eastAsia="宋体" w:hAnsi="宋体" w:cs="宋体" w:hint="eastAsia"/>
                <w:color w:val="000000"/>
                <w:spacing w:val="0"/>
                <w:kern w:val="0"/>
                <w:sz w:val="21"/>
                <w:szCs w:val="21"/>
                <w:lang w:eastAsia="zh-TW"/>
              </w:rPr>
              <w:t xml:space="preserve">　</w:t>
            </w:r>
            <w:r>
              <w:rPr>
                <w:rFonts w:ascii="宋体" w:eastAsia="宋体" w:hAnsi="宋体" w:cs="宋体" w:hint="eastAsia"/>
                <w:color w:val="000000"/>
                <w:spacing w:val="0"/>
                <w:kern w:val="0"/>
                <w:sz w:val="21"/>
                <w:szCs w:val="21"/>
              </w:rPr>
              <w:t>2</w:t>
            </w:r>
            <w:r>
              <w:rPr>
                <w:rFonts w:ascii="宋体" w:eastAsia="宋体" w:hAnsi="宋体" w:cs="宋体"/>
                <w:color w:val="000000"/>
                <w:spacing w:val="0"/>
                <w:kern w:val="0"/>
                <w:sz w:val="21"/>
                <w:szCs w:val="21"/>
              </w:rPr>
              <w:t>.5</w:t>
            </w:r>
          </w:p>
        </w:tc>
      </w:tr>
      <w:tr w:rsidR="003A55E5">
        <w:trPr>
          <w:trHeight w:val="780"/>
        </w:trPr>
        <w:tc>
          <w:tcPr>
            <w:tcW w:w="1063" w:type="pct"/>
            <w:tcBorders>
              <w:tl2br w:val="nil"/>
              <w:tr2bl w:val="nil"/>
            </w:tcBorders>
            <w:shd w:val="clear" w:color="auto" w:fill="auto"/>
            <w:vAlign w:val="center"/>
          </w:tcPr>
          <w:p w:rsidR="003A55E5" w:rsidRDefault="00D361FE">
            <w:pPr>
              <w:widowControl/>
              <w:spacing w:line="240" w:lineRule="auto"/>
              <w:jc w:val="righ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12</w:t>
            </w:r>
          </w:p>
        </w:tc>
        <w:tc>
          <w:tcPr>
            <w:tcW w:w="172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满足最低资本要求后的可用核心一级资本净额占风险加权资产的比例（</w:t>
            </w:r>
            <w:r>
              <w:rPr>
                <w:rFonts w:ascii="宋体" w:eastAsia="宋体" w:hAnsi="宋体" w:cs="宋体" w:hint="eastAsia"/>
                <w:color w:val="000000"/>
                <w:spacing w:val="0"/>
                <w:kern w:val="0"/>
                <w:sz w:val="21"/>
                <w:szCs w:val="21"/>
              </w:rPr>
              <w:t>%</w:t>
            </w:r>
            <w:r>
              <w:rPr>
                <w:rFonts w:ascii="宋体" w:eastAsia="宋体" w:hAnsi="宋体" w:cs="宋体" w:hint="eastAsia"/>
                <w:color w:val="000000"/>
                <w:spacing w:val="0"/>
                <w:kern w:val="0"/>
                <w:sz w:val="21"/>
                <w:szCs w:val="21"/>
              </w:rPr>
              <w:t>）</w:t>
            </w:r>
          </w:p>
        </w:tc>
        <w:tc>
          <w:tcPr>
            <w:tcW w:w="1121"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 xml:space="preserve">　</w:t>
            </w:r>
            <w:r>
              <w:rPr>
                <w:rFonts w:ascii="宋体" w:eastAsia="宋体" w:hAnsi="宋体" w:cs="宋体" w:hint="eastAsia"/>
                <w:color w:val="000000"/>
                <w:spacing w:val="0"/>
                <w:kern w:val="0"/>
                <w:sz w:val="21"/>
                <w:szCs w:val="21"/>
              </w:rPr>
              <w:t>7</w:t>
            </w:r>
            <w:r>
              <w:rPr>
                <w:rFonts w:ascii="宋体" w:eastAsia="宋体" w:hAnsi="宋体" w:cs="宋体"/>
                <w:color w:val="000000"/>
                <w:spacing w:val="0"/>
                <w:kern w:val="0"/>
                <w:sz w:val="21"/>
                <w:szCs w:val="21"/>
              </w:rPr>
              <w:t>.</w:t>
            </w:r>
            <w:r>
              <w:rPr>
                <w:rFonts w:ascii="宋体" w:eastAsia="宋体" w:hAnsi="宋体" w:cs="宋体" w:hint="eastAsia"/>
                <w:color w:val="000000"/>
                <w:spacing w:val="0"/>
                <w:kern w:val="0"/>
                <w:sz w:val="21"/>
                <w:szCs w:val="21"/>
              </w:rPr>
              <w:t>77</w:t>
            </w:r>
          </w:p>
        </w:tc>
        <w:tc>
          <w:tcPr>
            <w:tcW w:w="108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 xml:space="preserve">　</w:t>
            </w:r>
            <w:r>
              <w:rPr>
                <w:rFonts w:ascii="宋体" w:eastAsia="宋体" w:hAnsi="宋体" w:cs="宋体" w:hint="eastAsia"/>
                <w:color w:val="000000"/>
                <w:spacing w:val="0"/>
                <w:kern w:val="0"/>
                <w:sz w:val="21"/>
                <w:szCs w:val="21"/>
              </w:rPr>
              <w:t>7</w:t>
            </w:r>
            <w:r>
              <w:rPr>
                <w:rFonts w:ascii="宋体" w:eastAsia="宋体" w:hAnsi="宋体" w:cs="宋体"/>
                <w:color w:val="000000"/>
                <w:spacing w:val="0"/>
                <w:kern w:val="0"/>
                <w:sz w:val="21"/>
                <w:szCs w:val="21"/>
              </w:rPr>
              <w:t>.</w:t>
            </w:r>
            <w:r>
              <w:rPr>
                <w:rFonts w:ascii="宋体" w:eastAsia="宋体" w:hAnsi="宋体" w:cs="宋体" w:hint="eastAsia"/>
                <w:color w:val="000000"/>
                <w:spacing w:val="0"/>
                <w:kern w:val="0"/>
                <w:sz w:val="21"/>
                <w:szCs w:val="21"/>
              </w:rPr>
              <w:t>55</w:t>
            </w:r>
          </w:p>
        </w:tc>
      </w:tr>
      <w:tr w:rsidR="003A55E5">
        <w:trPr>
          <w:trHeight w:val="285"/>
        </w:trPr>
        <w:tc>
          <w:tcPr>
            <w:tcW w:w="5000" w:type="pct"/>
            <w:gridSpan w:val="4"/>
            <w:tcBorders>
              <w:tl2br w:val="nil"/>
              <w:tr2bl w:val="nil"/>
            </w:tcBorders>
            <w:shd w:val="clear" w:color="000000" w:fill="D9D9D9"/>
            <w:vAlign w:val="center"/>
          </w:tcPr>
          <w:p w:rsidR="003A55E5" w:rsidRDefault="00D361FE">
            <w:pPr>
              <w:widowControl/>
              <w:spacing w:line="240" w:lineRule="auto"/>
              <w:jc w:val="left"/>
              <w:rPr>
                <w:rFonts w:ascii="宋体" w:eastAsia="宋体" w:hAnsi="宋体" w:cs="宋体"/>
                <w:b/>
                <w:bCs/>
                <w:color w:val="000000"/>
                <w:spacing w:val="0"/>
                <w:kern w:val="0"/>
                <w:sz w:val="21"/>
                <w:szCs w:val="21"/>
              </w:rPr>
            </w:pPr>
            <w:r>
              <w:rPr>
                <w:rFonts w:ascii="宋体" w:eastAsia="宋体" w:hAnsi="宋体" w:cs="宋体" w:hint="eastAsia"/>
                <w:b/>
                <w:bCs/>
                <w:color w:val="000000"/>
                <w:spacing w:val="0"/>
                <w:kern w:val="0"/>
                <w:sz w:val="21"/>
                <w:szCs w:val="21"/>
              </w:rPr>
              <w:t>杠杆率</w:t>
            </w:r>
          </w:p>
        </w:tc>
      </w:tr>
      <w:tr w:rsidR="003A55E5">
        <w:trPr>
          <w:trHeight w:val="285"/>
        </w:trPr>
        <w:tc>
          <w:tcPr>
            <w:tcW w:w="1063" w:type="pct"/>
            <w:tcBorders>
              <w:tl2br w:val="nil"/>
              <w:tr2bl w:val="nil"/>
            </w:tcBorders>
            <w:shd w:val="clear" w:color="auto" w:fill="auto"/>
            <w:vAlign w:val="center"/>
          </w:tcPr>
          <w:p w:rsidR="003A55E5" w:rsidRDefault="00D361FE">
            <w:pPr>
              <w:widowControl/>
              <w:spacing w:line="240" w:lineRule="auto"/>
              <w:jc w:val="righ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13</w:t>
            </w:r>
          </w:p>
        </w:tc>
        <w:tc>
          <w:tcPr>
            <w:tcW w:w="172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调整后表内外资产余额</w:t>
            </w:r>
          </w:p>
        </w:tc>
        <w:tc>
          <w:tcPr>
            <w:tcW w:w="1121"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7485171.54</w:t>
            </w:r>
          </w:p>
        </w:tc>
        <w:tc>
          <w:tcPr>
            <w:tcW w:w="108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lang w:eastAsia="zh-TW"/>
              </w:rPr>
            </w:pPr>
            <w:r>
              <w:rPr>
                <w:rFonts w:ascii="宋体" w:eastAsia="宋体" w:hAnsi="宋体" w:cs="宋体" w:hint="eastAsia"/>
                <w:color w:val="000000"/>
                <w:spacing w:val="0"/>
                <w:kern w:val="0"/>
                <w:sz w:val="21"/>
                <w:szCs w:val="21"/>
                <w:lang w:eastAsia="zh-TW"/>
              </w:rPr>
              <w:t xml:space="preserve">　</w:t>
            </w:r>
            <w:r>
              <w:rPr>
                <w:rFonts w:ascii="宋体" w:eastAsia="宋体" w:hAnsi="宋体" w:cs="宋体" w:hint="eastAsia"/>
                <w:color w:val="000000"/>
                <w:sz w:val="21"/>
                <w:szCs w:val="21"/>
                <w:lang w:bidi="ar"/>
              </w:rPr>
              <w:t>7374724.97</w:t>
            </w:r>
          </w:p>
        </w:tc>
      </w:tr>
      <w:tr w:rsidR="003A55E5">
        <w:trPr>
          <w:trHeight w:val="285"/>
        </w:trPr>
        <w:tc>
          <w:tcPr>
            <w:tcW w:w="1063" w:type="pct"/>
            <w:tcBorders>
              <w:tl2br w:val="nil"/>
              <w:tr2bl w:val="nil"/>
            </w:tcBorders>
            <w:shd w:val="clear" w:color="auto" w:fill="auto"/>
            <w:vAlign w:val="center"/>
          </w:tcPr>
          <w:p w:rsidR="003A55E5" w:rsidRDefault="00D361FE">
            <w:pPr>
              <w:widowControl/>
              <w:spacing w:line="240" w:lineRule="auto"/>
              <w:jc w:val="righ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14</w:t>
            </w:r>
          </w:p>
        </w:tc>
        <w:tc>
          <w:tcPr>
            <w:tcW w:w="172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杠杆率（</w:t>
            </w:r>
            <w:r>
              <w:rPr>
                <w:rFonts w:ascii="宋体" w:eastAsia="宋体" w:hAnsi="宋体" w:cs="宋体" w:hint="eastAsia"/>
                <w:color w:val="000000"/>
                <w:spacing w:val="0"/>
                <w:kern w:val="0"/>
                <w:sz w:val="21"/>
                <w:szCs w:val="21"/>
              </w:rPr>
              <w:t>%</w:t>
            </w:r>
            <w:r>
              <w:rPr>
                <w:rFonts w:ascii="宋体" w:eastAsia="宋体" w:hAnsi="宋体" w:cs="宋体" w:hint="eastAsia"/>
                <w:color w:val="000000"/>
                <w:spacing w:val="0"/>
                <w:kern w:val="0"/>
                <w:sz w:val="21"/>
                <w:szCs w:val="21"/>
              </w:rPr>
              <w:t>）</w:t>
            </w:r>
          </w:p>
        </w:tc>
        <w:tc>
          <w:tcPr>
            <w:tcW w:w="1121"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 xml:space="preserve">　</w:t>
            </w:r>
            <w:r>
              <w:rPr>
                <w:rFonts w:ascii="宋体" w:eastAsia="宋体" w:hAnsi="宋体" w:cs="宋体" w:hint="eastAsia"/>
                <w:color w:val="000000"/>
                <w:spacing w:val="0"/>
                <w:kern w:val="0"/>
                <w:sz w:val="21"/>
                <w:szCs w:val="21"/>
              </w:rPr>
              <w:t>8.02</w:t>
            </w:r>
          </w:p>
        </w:tc>
        <w:tc>
          <w:tcPr>
            <w:tcW w:w="108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 xml:space="preserve">　</w:t>
            </w:r>
            <w:r>
              <w:rPr>
                <w:rFonts w:ascii="宋体" w:eastAsia="宋体" w:hAnsi="宋体" w:cs="宋体" w:hint="eastAsia"/>
                <w:color w:val="000000"/>
                <w:spacing w:val="0"/>
                <w:kern w:val="0"/>
                <w:sz w:val="21"/>
                <w:szCs w:val="21"/>
              </w:rPr>
              <w:t>7</w:t>
            </w:r>
            <w:r>
              <w:rPr>
                <w:rFonts w:ascii="宋体" w:eastAsia="宋体" w:hAnsi="宋体" w:cs="宋体"/>
                <w:color w:val="000000"/>
                <w:spacing w:val="0"/>
                <w:kern w:val="0"/>
                <w:sz w:val="21"/>
                <w:szCs w:val="21"/>
              </w:rPr>
              <w:t>.</w:t>
            </w:r>
            <w:r>
              <w:rPr>
                <w:rFonts w:ascii="宋体" w:eastAsia="宋体" w:hAnsi="宋体" w:cs="宋体" w:hint="eastAsia"/>
                <w:color w:val="000000"/>
                <w:spacing w:val="0"/>
                <w:kern w:val="0"/>
                <w:sz w:val="21"/>
                <w:szCs w:val="21"/>
              </w:rPr>
              <w:t>93</w:t>
            </w:r>
          </w:p>
        </w:tc>
      </w:tr>
      <w:tr w:rsidR="003A55E5">
        <w:trPr>
          <w:trHeight w:val="285"/>
        </w:trPr>
        <w:tc>
          <w:tcPr>
            <w:tcW w:w="1063"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14a</w:t>
            </w:r>
          </w:p>
        </w:tc>
        <w:tc>
          <w:tcPr>
            <w:tcW w:w="172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杠杆率</w:t>
            </w:r>
            <w:r>
              <w:rPr>
                <w:rFonts w:ascii="宋体" w:eastAsia="宋体" w:hAnsi="宋体" w:cs="宋体" w:hint="eastAsia"/>
                <w:color w:val="000000"/>
                <w:spacing w:val="0"/>
                <w:kern w:val="0"/>
                <w:sz w:val="21"/>
                <w:szCs w:val="21"/>
              </w:rPr>
              <w:t>a</w:t>
            </w:r>
            <w:r>
              <w:rPr>
                <w:rFonts w:ascii="宋体" w:eastAsia="宋体" w:hAnsi="宋体" w:cs="宋体" w:hint="eastAsia"/>
                <w:color w:val="000000"/>
                <w:spacing w:val="0"/>
                <w:kern w:val="0"/>
                <w:sz w:val="21"/>
                <w:szCs w:val="21"/>
              </w:rPr>
              <w:t>（</w:t>
            </w:r>
            <w:r>
              <w:rPr>
                <w:rFonts w:ascii="宋体" w:eastAsia="宋体" w:hAnsi="宋体" w:cs="宋体" w:hint="eastAsia"/>
                <w:color w:val="000000"/>
                <w:spacing w:val="0"/>
                <w:kern w:val="0"/>
                <w:sz w:val="21"/>
                <w:szCs w:val="21"/>
              </w:rPr>
              <w:t>%</w:t>
            </w:r>
            <w:r>
              <w:rPr>
                <w:rFonts w:ascii="宋体" w:eastAsia="宋体" w:hAnsi="宋体" w:cs="宋体" w:hint="eastAsia"/>
                <w:color w:val="000000"/>
                <w:spacing w:val="0"/>
                <w:kern w:val="0"/>
                <w:sz w:val="21"/>
                <w:szCs w:val="21"/>
              </w:rPr>
              <w:t>）</w:t>
            </w:r>
          </w:p>
        </w:tc>
        <w:tc>
          <w:tcPr>
            <w:tcW w:w="1121"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 xml:space="preserve">　</w:t>
            </w:r>
            <w:r>
              <w:rPr>
                <w:rFonts w:ascii="宋体" w:eastAsia="宋体" w:hAnsi="宋体" w:cs="宋体" w:hint="eastAsia"/>
                <w:color w:val="000000"/>
                <w:spacing w:val="0"/>
                <w:kern w:val="0"/>
                <w:sz w:val="21"/>
                <w:szCs w:val="21"/>
              </w:rPr>
              <w:t>8.02</w:t>
            </w:r>
          </w:p>
        </w:tc>
        <w:tc>
          <w:tcPr>
            <w:tcW w:w="108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 xml:space="preserve">　</w:t>
            </w:r>
            <w:r>
              <w:rPr>
                <w:rFonts w:ascii="宋体" w:eastAsia="宋体" w:hAnsi="宋体" w:cs="宋体" w:hint="eastAsia"/>
                <w:color w:val="000000"/>
                <w:spacing w:val="0"/>
                <w:kern w:val="0"/>
                <w:sz w:val="21"/>
                <w:szCs w:val="21"/>
              </w:rPr>
              <w:t>7</w:t>
            </w:r>
            <w:r>
              <w:rPr>
                <w:rFonts w:ascii="宋体" w:eastAsia="宋体" w:hAnsi="宋体" w:cs="宋体"/>
                <w:color w:val="000000"/>
                <w:spacing w:val="0"/>
                <w:kern w:val="0"/>
                <w:sz w:val="21"/>
                <w:szCs w:val="21"/>
              </w:rPr>
              <w:t>.</w:t>
            </w:r>
            <w:r>
              <w:rPr>
                <w:rFonts w:ascii="宋体" w:eastAsia="宋体" w:hAnsi="宋体" w:cs="宋体" w:hint="eastAsia"/>
                <w:color w:val="000000"/>
                <w:spacing w:val="0"/>
                <w:kern w:val="0"/>
                <w:sz w:val="21"/>
                <w:szCs w:val="21"/>
              </w:rPr>
              <w:t>93</w:t>
            </w:r>
          </w:p>
        </w:tc>
      </w:tr>
      <w:tr w:rsidR="003A55E5">
        <w:trPr>
          <w:trHeight w:val="285"/>
        </w:trPr>
        <w:tc>
          <w:tcPr>
            <w:tcW w:w="5000" w:type="pct"/>
            <w:gridSpan w:val="4"/>
            <w:tcBorders>
              <w:tl2br w:val="nil"/>
              <w:tr2bl w:val="nil"/>
            </w:tcBorders>
            <w:shd w:val="clear" w:color="000000" w:fill="D9D9D9"/>
            <w:vAlign w:val="center"/>
          </w:tcPr>
          <w:p w:rsidR="003A55E5" w:rsidRDefault="00D361FE">
            <w:pPr>
              <w:widowControl/>
              <w:spacing w:line="240" w:lineRule="auto"/>
              <w:jc w:val="left"/>
              <w:rPr>
                <w:rFonts w:ascii="宋体" w:eastAsia="宋体" w:hAnsi="宋体" w:cs="宋体"/>
                <w:b/>
                <w:bCs/>
                <w:color w:val="000000"/>
                <w:spacing w:val="0"/>
                <w:kern w:val="0"/>
                <w:sz w:val="21"/>
                <w:szCs w:val="21"/>
              </w:rPr>
            </w:pPr>
            <w:r>
              <w:rPr>
                <w:rFonts w:ascii="宋体" w:eastAsia="宋体" w:hAnsi="宋体" w:cs="宋体" w:hint="eastAsia"/>
                <w:b/>
                <w:bCs/>
                <w:color w:val="000000"/>
                <w:spacing w:val="0"/>
                <w:kern w:val="0"/>
                <w:sz w:val="21"/>
                <w:szCs w:val="21"/>
              </w:rPr>
              <w:t>流动性覆盖率</w:t>
            </w:r>
          </w:p>
        </w:tc>
      </w:tr>
      <w:tr w:rsidR="003A55E5">
        <w:trPr>
          <w:trHeight w:val="285"/>
        </w:trPr>
        <w:tc>
          <w:tcPr>
            <w:tcW w:w="1063" w:type="pct"/>
            <w:tcBorders>
              <w:tl2br w:val="nil"/>
              <w:tr2bl w:val="nil"/>
            </w:tcBorders>
            <w:shd w:val="clear" w:color="auto" w:fill="auto"/>
            <w:vAlign w:val="center"/>
          </w:tcPr>
          <w:p w:rsidR="003A55E5" w:rsidRDefault="00D361FE">
            <w:pPr>
              <w:widowControl/>
              <w:spacing w:line="240" w:lineRule="auto"/>
              <w:jc w:val="righ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15</w:t>
            </w:r>
          </w:p>
        </w:tc>
        <w:tc>
          <w:tcPr>
            <w:tcW w:w="172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合格优质流动性资产</w:t>
            </w:r>
          </w:p>
        </w:tc>
        <w:tc>
          <w:tcPr>
            <w:tcW w:w="1121"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 xml:space="preserve">　</w:t>
            </w:r>
            <w:r>
              <w:rPr>
                <w:rFonts w:ascii="宋体" w:eastAsia="宋体" w:hAnsi="宋体" w:cs="宋体" w:hint="eastAsia"/>
                <w:color w:val="000000"/>
                <w:spacing w:val="0"/>
                <w:kern w:val="0"/>
                <w:sz w:val="21"/>
                <w:szCs w:val="21"/>
              </w:rPr>
              <w:t>不适用</w:t>
            </w:r>
          </w:p>
        </w:tc>
        <w:tc>
          <w:tcPr>
            <w:tcW w:w="108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lang w:eastAsia="zh-TW"/>
              </w:rPr>
            </w:pPr>
            <w:r>
              <w:rPr>
                <w:rFonts w:ascii="宋体" w:eastAsia="宋体" w:hAnsi="宋体" w:cs="宋体" w:hint="eastAsia"/>
                <w:color w:val="000000"/>
                <w:spacing w:val="0"/>
                <w:kern w:val="0"/>
                <w:sz w:val="21"/>
                <w:szCs w:val="21"/>
                <w:lang w:eastAsia="zh-TW"/>
              </w:rPr>
              <w:t xml:space="preserve">　</w:t>
            </w:r>
            <w:r>
              <w:rPr>
                <w:rFonts w:ascii="宋体" w:eastAsia="宋体" w:hAnsi="宋体" w:cs="宋体" w:hint="eastAsia"/>
                <w:color w:val="000000"/>
                <w:spacing w:val="0"/>
                <w:kern w:val="0"/>
                <w:sz w:val="21"/>
                <w:szCs w:val="21"/>
              </w:rPr>
              <w:t>不适用</w:t>
            </w:r>
          </w:p>
        </w:tc>
      </w:tr>
      <w:tr w:rsidR="003A55E5">
        <w:trPr>
          <w:trHeight w:val="285"/>
        </w:trPr>
        <w:tc>
          <w:tcPr>
            <w:tcW w:w="1063" w:type="pct"/>
            <w:tcBorders>
              <w:tl2br w:val="nil"/>
              <w:tr2bl w:val="nil"/>
            </w:tcBorders>
            <w:shd w:val="clear" w:color="auto" w:fill="auto"/>
            <w:vAlign w:val="center"/>
          </w:tcPr>
          <w:p w:rsidR="003A55E5" w:rsidRDefault="00D361FE">
            <w:pPr>
              <w:widowControl/>
              <w:spacing w:line="240" w:lineRule="auto"/>
              <w:jc w:val="righ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16</w:t>
            </w:r>
          </w:p>
        </w:tc>
        <w:tc>
          <w:tcPr>
            <w:tcW w:w="172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现金净流出量</w:t>
            </w:r>
          </w:p>
        </w:tc>
        <w:tc>
          <w:tcPr>
            <w:tcW w:w="1121" w:type="pct"/>
            <w:tcBorders>
              <w:tl2br w:val="nil"/>
              <w:tr2bl w:val="nil"/>
            </w:tcBorders>
            <w:shd w:val="clear" w:color="auto" w:fill="auto"/>
          </w:tcPr>
          <w:p w:rsidR="003A55E5" w:rsidRDefault="00D361FE">
            <w:pPr>
              <w:ind w:firstLineChars="100" w:firstLine="210"/>
            </w:pPr>
            <w:r>
              <w:rPr>
                <w:rFonts w:ascii="宋体" w:eastAsia="宋体" w:hAnsi="宋体" w:cs="宋体" w:hint="eastAsia"/>
                <w:color w:val="000000"/>
                <w:spacing w:val="0"/>
                <w:kern w:val="0"/>
                <w:sz w:val="21"/>
                <w:szCs w:val="21"/>
              </w:rPr>
              <w:t>不适用</w:t>
            </w:r>
          </w:p>
        </w:tc>
        <w:tc>
          <w:tcPr>
            <w:tcW w:w="1087" w:type="pct"/>
            <w:tcBorders>
              <w:tl2br w:val="nil"/>
              <w:tr2bl w:val="nil"/>
            </w:tcBorders>
            <w:shd w:val="clear" w:color="auto" w:fill="auto"/>
          </w:tcPr>
          <w:p w:rsidR="003A55E5" w:rsidRDefault="00D361FE">
            <w:pPr>
              <w:ind w:firstLineChars="100" w:firstLine="210"/>
            </w:pPr>
            <w:r>
              <w:rPr>
                <w:rFonts w:ascii="宋体" w:eastAsia="宋体" w:hAnsi="宋体" w:cs="宋体" w:hint="eastAsia"/>
                <w:color w:val="000000"/>
                <w:spacing w:val="0"/>
                <w:kern w:val="0"/>
                <w:sz w:val="21"/>
                <w:szCs w:val="21"/>
              </w:rPr>
              <w:t>不适用</w:t>
            </w:r>
          </w:p>
        </w:tc>
      </w:tr>
      <w:tr w:rsidR="003A55E5">
        <w:trPr>
          <w:trHeight w:val="285"/>
        </w:trPr>
        <w:tc>
          <w:tcPr>
            <w:tcW w:w="1063" w:type="pct"/>
            <w:tcBorders>
              <w:tl2br w:val="nil"/>
              <w:tr2bl w:val="nil"/>
            </w:tcBorders>
            <w:shd w:val="clear" w:color="auto" w:fill="auto"/>
            <w:vAlign w:val="center"/>
          </w:tcPr>
          <w:p w:rsidR="003A55E5" w:rsidRDefault="00D361FE">
            <w:pPr>
              <w:widowControl/>
              <w:spacing w:line="240" w:lineRule="auto"/>
              <w:jc w:val="righ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17</w:t>
            </w:r>
          </w:p>
        </w:tc>
        <w:tc>
          <w:tcPr>
            <w:tcW w:w="172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流动性覆盖率（</w:t>
            </w:r>
            <w:r>
              <w:rPr>
                <w:rFonts w:ascii="宋体" w:eastAsia="宋体" w:hAnsi="宋体" w:cs="宋体" w:hint="eastAsia"/>
                <w:color w:val="000000"/>
                <w:spacing w:val="0"/>
                <w:kern w:val="0"/>
                <w:sz w:val="21"/>
                <w:szCs w:val="21"/>
              </w:rPr>
              <w:t>%</w:t>
            </w:r>
            <w:r>
              <w:rPr>
                <w:rFonts w:ascii="宋体" w:eastAsia="宋体" w:hAnsi="宋体" w:cs="宋体" w:hint="eastAsia"/>
                <w:color w:val="000000"/>
                <w:spacing w:val="0"/>
                <w:kern w:val="0"/>
                <w:sz w:val="21"/>
                <w:szCs w:val="21"/>
              </w:rPr>
              <w:t>）</w:t>
            </w:r>
          </w:p>
        </w:tc>
        <w:tc>
          <w:tcPr>
            <w:tcW w:w="1121" w:type="pct"/>
            <w:tcBorders>
              <w:tl2br w:val="nil"/>
              <w:tr2bl w:val="nil"/>
            </w:tcBorders>
            <w:shd w:val="clear" w:color="auto" w:fill="auto"/>
          </w:tcPr>
          <w:p w:rsidR="003A55E5" w:rsidRDefault="00D361FE">
            <w:pPr>
              <w:ind w:firstLineChars="100" w:firstLine="210"/>
            </w:pPr>
            <w:r>
              <w:rPr>
                <w:rFonts w:ascii="宋体" w:eastAsia="宋体" w:hAnsi="宋体" w:cs="宋体" w:hint="eastAsia"/>
                <w:color w:val="000000"/>
                <w:spacing w:val="0"/>
                <w:kern w:val="0"/>
                <w:sz w:val="21"/>
                <w:szCs w:val="21"/>
              </w:rPr>
              <w:t>不适用</w:t>
            </w:r>
          </w:p>
        </w:tc>
        <w:tc>
          <w:tcPr>
            <w:tcW w:w="1087" w:type="pct"/>
            <w:tcBorders>
              <w:tl2br w:val="nil"/>
              <w:tr2bl w:val="nil"/>
            </w:tcBorders>
            <w:shd w:val="clear" w:color="auto" w:fill="auto"/>
          </w:tcPr>
          <w:p w:rsidR="003A55E5" w:rsidRDefault="00D361FE">
            <w:pPr>
              <w:ind w:firstLineChars="100" w:firstLine="210"/>
            </w:pPr>
            <w:r>
              <w:rPr>
                <w:rFonts w:ascii="宋体" w:eastAsia="宋体" w:hAnsi="宋体" w:cs="宋体" w:hint="eastAsia"/>
                <w:color w:val="000000"/>
                <w:spacing w:val="0"/>
                <w:kern w:val="0"/>
                <w:sz w:val="21"/>
                <w:szCs w:val="21"/>
              </w:rPr>
              <w:t>不适用</w:t>
            </w:r>
          </w:p>
        </w:tc>
      </w:tr>
      <w:tr w:rsidR="003A55E5">
        <w:trPr>
          <w:trHeight w:val="285"/>
        </w:trPr>
        <w:tc>
          <w:tcPr>
            <w:tcW w:w="5000" w:type="pct"/>
            <w:gridSpan w:val="4"/>
            <w:tcBorders>
              <w:tl2br w:val="nil"/>
              <w:tr2bl w:val="nil"/>
            </w:tcBorders>
            <w:shd w:val="clear" w:color="000000" w:fill="D9D9D9"/>
            <w:vAlign w:val="center"/>
          </w:tcPr>
          <w:p w:rsidR="003A55E5" w:rsidRDefault="00D361FE">
            <w:pPr>
              <w:widowControl/>
              <w:spacing w:line="240" w:lineRule="auto"/>
              <w:jc w:val="left"/>
              <w:rPr>
                <w:rFonts w:ascii="宋体" w:eastAsia="宋体" w:hAnsi="宋体" w:cs="宋体"/>
                <w:b/>
                <w:bCs/>
                <w:color w:val="000000"/>
                <w:spacing w:val="0"/>
                <w:kern w:val="0"/>
                <w:sz w:val="21"/>
                <w:szCs w:val="21"/>
              </w:rPr>
            </w:pPr>
            <w:r>
              <w:rPr>
                <w:rFonts w:ascii="宋体" w:eastAsia="宋体" w:hAnsi="宋体" w:cs="宋体" w:hint="eastAsia"/>
                <w:b/>
                <w:bCs/>
                <w:color w:val="000000"/>
                <w:spacing w:val="0"/>
                <w:kern w:val="0"/>
                <w:sz w:val="21"/>
                <w:szCs w:val="21"/>
              </w:rPr>
              <w:t>净稳定资金比例</w:t>
            </w:r>
          </w:p>
        </w:tc>
      </w:tr>
      <w:tr w:rsidR="003A55E5">
        <w:trPr>
          <w:trHeight w:val="285"/>
        </w:trPr>
        <w:tc>
          <w:tcPr>
            <w:tcW w:w="1063" w:type="pct"/>
            <w:tcBorders>
              <w:tl2br w:val="nil"/>
              <w:tr2bl w:val="nil"/>
            </w:tcBorders>
            <w:shd w:val="clear" w:color="auto" w:fill="auto"/>
            <w:vAlign w:val="center"/>
          </w:tcPr>
          <w:p w:rsidR="003A55E5" w:rsidRDefault="00D361FE">
            <w:pPr>
              <w:widowControl/>
              <w:spacing w:line="240" w:lineRule="auto"/>
              <w:jc w:val="righ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18</w:t>
            </w:r>
          </w:p>
        </w:tc>
        <w:tc>
          <w:tcPr>
            <w:tcW w:w="172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可用稳定资金合计</w:t>
            </w:r>
          </w:p>
        </w:tc>
        <w:tc>
          <w:tcPr>
            <w:tcW w:w="1121" w:type="pct"/>
            <w:tcBorders>
              <w:tl2br w:val="nil"/>
              <w:tr2bl w:val="nil"/>
            </w:tcBorders>
            <w:shd w:val="clear" w:color="auto" w:fill="auto"/>
          </w:tcPr>
          <w:p w:rsidR="003A55E5" w:rsidRDefault="00D361FE">
            <w:pPr>
              <w:ind w:firstLineChars="100" w:firstLine="210"/>
            </w:pPr>
            <w:r>
              <w:rPr>
                <w:rFonts w:ascii="宋体" w:eastAsia="宋体" w:hAnsi="宋体" w:cs="宋体" w:hint="eastAsia"/>
                <w:color w:val="000000"/>
                <w:spacing w:val="0"/>
                <w:kern w:val="0"/>
                <w:sz w:val="21"/>
                <w:szCs w:val="21"/>
              </w:rPr>
              <w:t>不适用</w:t>
            </w:r>
          </w:p>
        </w:tc>
        <w:tc>
          <w:tcPr>
            <w:tcW w:w="1087" w:type="pct"/>
            <w:tcBorders>
              <w:tl2br w:val="nil"/>
              <w:tr2bl w:val="nil"/>
            </w:tcBorders>
            <w:shd w:val="clear" w:color="auto" w:fill="auto"/>
          </w:tcPr>
          <w:p w:rsidR="003A55E5" w:rsidRDefault="00D361FE">
            <w:pPr>
              <w:ind w:firstLineChars="100" w:firstLine="210"/>
            </w:pPr>
            <w:r>
              <w:rPr>
                <w:rFonts w:ascii="宋体" w:eastAsia="宋体" w:hAnsi="宋体" w:cs="宋体" w:hint="eastAsia"/>
                <w:color w:val="000000"/>
                <w:spacing w:val="0"/>
                <w:kern w:val="0"/>
                <w:sz w:val="21"/>
                <w:szCs w:val="21"/>
              </w:rPr>
              <w:t>不适用</w:t>
            </w:r>
          </w:p>
        </w:tc>
      </w:tr>
      <w:tr w:rsidR="003A55E5">
        <w:trPr>
          <w:trHeight w:val="285"/>
        </w:trPr>
        <w:tc>
          <w:tcPr>
            <w:tcW w:w="1063" w:type="pct"/>
            <w:tcBorders>
              <w:tl2br w:val="nil"/>
              <w:tr2bl w:val="nil"/>
            </w:tcBorders>
            <w:shd w:val="clear" w:color="auto" w:fill="auto"/>
            <w:vAlign w:val="center"/>
          </w:tcPr>
          <w:p w:rsidR="003A55E5" w:rsidRDefault="00D361FE">
            <w:pPr>
              <w:widowControl/>
              <w:spacing w:line="240" w:lineRule="auto"/>
              <w:jc w:val="righ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19</w:t>
            </w:r>
          </w:p>
        </w:tc>
        <w:tc>
          <w:tcPr>
            <w:tcW w:w="172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所需稳定资金合计</w:t>
            </w:r>
          </w:p>
        </w:tc>
        <w:tc>
          <w:tcPr>
            <w:tcW w:w="1121" w:type="pct"/>
            <w:tcBorders>
              <w:tl2br w:val="nil"/>
              <w:tr2bl w:val="nil"/>
            </w:tcBorders>
            <w:shd w:val="clear" w:color="auto" w:fill="auto"/>
          </w:tcPr>
          <w:p w:rsidR="003A55E5" w:rsidRDefault="00D361FE">
            <w:pPr>
              <w:ind w:firstLineChars="100" w:firstLine="210"/>
            </w:pPr>
            <w:r>
              <w:rPr>
                <w:rFonts w:ascii="宋体" w:eastAsia="宋体" w:hAnsi="宋体" w:cs="宋体" w:hint="eastAsia"/>
                <w:color w:val="000000"/>
                <w:spacing w:val="0"/>
                <w:kern w:val="0"/>
                <w:sz w:val="21"/>
                <w:szCs w:val="21"/>
              </w:rPr>
              <w:t>不适用</w:t>
            </w:r>
          </w:p>
        </w:tc>
        <w:tc>
          <w:tcPr>
            <w:tcW w:w="1087" w:type="pct"/>
            <w:tcBorders>
              <w:tl2br w:val="nil"/>
              <w:tr2bl w:val="nil"/>
            </w:tcBorders>
            <w:shd w:val="clear" w:color="auto" w:fill="auto"/>
          </w:tcPr>
          <w:p w:rsidR="003A55E5" w:rsidRDefault="00D361FE">
            <w:pPr>
              <w:ind w:firstLineChars="100" w:firstLine="210"/>
            </w:pPr>
            <w:r>
              <w:rPr>
                <w:rFonts w:ascii="宋体" w:eastAsia="宋体" w:hAnsi="宋体" w:cs="宋体" w:hint="eastAsia"/>
                <w:color w:val="000000"/>
                <w:spacing w:val="0"/>
                <w:kern w:val="0"/>
                <w:sz w:val="21"/>
                <w:szCs w:val="21"/>
              </w:rPr>
              <w:t>不适用</w:t>
            </w:r>
          </w:p>
        </w:tc>
      </w:tr>
      <w:tr w:rsidR="003A55E5">
        <w:trPr>
          <w:trHeight w:val="285"/>
        </w:trPr>
        <w:tc>
          <w:tcPr>
            <w:tcW w:w="1063" w:type="pct"/>
            <w:tcBorders>
              <w:tl2br w:val="nil"/>
              <w:tr2bl w:val="nil"/>
            </w:tcBorders>
            <w:shd w:val="clear" w:color="auto" w:fill="auto"/>
            <w:vAlign w:val="center"/>
          </w:tcPr>
          <w:p w:rsidR="003A55E5" w:rsidRDefault="00D361FE">
            <w:pPr>
              <w:widowControl/>
              <w:spacing w:line="240" w:lineRule="auto"/>
              <w:jc w:val="righ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20</w:t>
            </w:r>
          </w:p>
        </w:tc>
        <w:tc>
          <w:tcPr>
            <w:tcW w:w="1727" w:type="pct"/>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净稳定资金比例（</w:t>
            </w:r>
            <w:r>
              <w:rPr>
                <w:rFonts w:ascii="宋体" w:eastAsia="宋体" w:hAnsi="宋体" w:cs="宋体" w:hint="eastAsia"/>
                <w:color w:val="000000"/>
                <w:spacing w:val="0"/>
                <w:kern w:val="0"/>
                <w:sz w:val="21"/>
                <w:szCs w:val="21"/>
              </w:rPr>
              <w:t>%</w:t>
            </w:r>
            <w:r>
              <w:rPr>
                <w:rFonts w:ascii="宋体" w:eastAsia="宋体" w:hAnsi="宋体" w:cs="宋体" w:hint="eastAsia"/>
                <w:color w:val="000000"/>
                <w:spacing w:val="0"/>
                <w:kern w:val="0"/>
                <w:sz w:val="21"/>
                <w:szCs w:val="21"/>
              </w:rPr>
              <w:t>）</w:t>
            </w:r>
          </w:p>
        </w:tc>
        <w:tc>
          <w:tcPr>
            <w:tcW w:w="1121" w:type="pct"/>
            <w:tcBorders>
              <w:tl2br w:val="nil"/>
              <w:tr2bl w:val="nil"/>
            </w:tcBorders>
            <w:shd w:val="clear" w:color="auto" w:fill="auto"/>
          </w:tcPr>
          <w:p w:rsidR="003A55E5" w:rsidRDefault="00D361FE">
            <w:pPr>
              <w:ind w:firstLineChars="100" w:firstLine="210"/>
            </w:pPr>
            <w:r>
              <w:rPr>
                <w:rFonts w:ascii="宋体" w:eastAsia="宋体" w:hAnsi="宋体" w:cs="宋体" w:hint="eastAsia"/>
                <w:color w:val="000000"/>
                <w:spacing w:val="0"/>
                <w:kern w:val="0"/>
                <w:sz w:val="21"/>
                <w:szCs w:val="21"/>
              </w:rPr>
              <w:t>不适用</w:t>
            </w:r>
          </w:p>
        </w:tc>
        <w:tc>
          <w:tcPr>
            <w:tcW w:w="1087" w:type="pct"/>
            <w:tcBorders>
              <w:tl2br w:val="nil"/>
              <w:tr2bl w:val="nil"/>
            </w:tcBorders>
            <w:shd w:val="clear" w:color="auto" w:fill="auto"/>
          </w:tcPr>
          <w:p w:rsidR="003A55E5" w:rsidRDefault="00D361FE">
            <w:pPr>
              <w:ind w:firstLineChars="100" w:firstLine="210"/>
            </w:pPr>
            <w:r>
              <w:rPr>
                <w:rFonts w:ascii="宋体" w:eastAsia="宋体" w:hAnsi="宋体" w:cs="宋体" w:hint="eastAsia"/>
                <w:color w:val="000000"/>
                <w:spacing w:val="0"/>
                <w:kern w:val="0"/>
                <w:sz w:val="21"/>
                <w:szCs w:val="21"/>
              </w:rPr>
              <w:t>不适用</w:t>
            </w:r>
          </w:p>
        </w:tc>
      </w:tr>
      <w:tr w:rsidR="003A55E5">
        <w:trPr>
          <w:trHeight w:val="285"/>
        </w:trPr>
        <w:tc>
          <w:tcPr>
            <w:tcW w:w="5000" w:type="pct"/>
            <w:gridSpan w:val="4"/>
            <w:tcBorders>
              <w:tl2br w:val="nil"/>
              <w:tr2bl w:val="nil"/>
            </w:tcBorders>
            <w:shd w:val="clear" w:color="000000" w:fill="D8D8D8"/>
            <w:vAlign w:val="center"/>
          </w:tcPr>
          <w:p w:rsidR="003A55E5" w:rsidRDefault="00D361FE">
            <w:pPr>
              <w:widowControl/>
              <w:spacing w:line="240" w:lineRule="auto"/>
              <w:jc w:val="left"/>
              <w:rPr>
                <w:rFonts w:ascii="宋体" w:eastAsia="宋体" w:hAnsi="宋体" w:cs="宋体"/>
                <w:b/>
                <w:bCs/>
                <w:color w:val="000000"/>
                <w:spacing w:val="0"/>
                <w:kern w:val="0"/>
                <w:sz w:val="21"/>
                <w:szCs w:val="21"/>
              </w:rPr>
            </w:pPr>
            <w:r>
              <w:rPr>
                <w:rFonts w:ascii="宋体" w:eastAsia="宋体" w:hAnsi="宋体" w:cs="宋体" w:hint="eastAsia"/>
                <w:b/>
                <w:bCs/>
                <w:color w:val="000000"/>
                <w:spacing w:val="0"/>
                <w:kern w:val="0"/>
                <w:sz w:val="21"/>
                <w:szCs w:val="21"/>
              </w:rPr>
              <w:t>流动性比例</w:t>
            </w:r>
          </w:p>
        </w:tc>
      </w:tr>
      <w:tr w:rsidR="003A55E5">
        <w:trPr>
          <w:trHeight w:val="285"/>
        </w:trPr>
        <w:tc>
          <w:tcPr>
            <w:tcW w:w="1063" w:type="pct"/>
            <w:tcBorders>
              <w:tl2br w:val="nil"/>
              <w:tr2bl w:val="nil"/>
            </w:tcBorders>
            <w:shd w:val="clear" w:color="000000" w:fill="FFFFFF"/>
            <w:vAlign w:val="center"/>
          </w:tcPr>
          <w:p w:rsidR="003A55E5" w:rsidRDefault="00D361FE">
            <w:pPr>
              <w:widowControl/>
              <w:spacing w:line="240" w:lineRule="auto"/>
              <w:jc w:val="righ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21</w:t>
            </w:r>
          </w:p>
        </w:tc>
        <w:tc>
          <w:tcPr>
            <w:tcW w:w="1727" w:type="pct"/>
            <w:tcBorders>
              <w:tl2br w:val="nil"/>
              <w:tr2bl w:val="nil"/>
            </w:tcBorders>
            <w:shd w:val="clear" w:color="000000" w:fill="FFFFFF"/>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流动性比例（</w:t>
            </w:r>
            <w:r>
              <w:rPr>
                <w:rFonts w:ascii="宋体" w:eastAsia="宋体" w:hAnsi="宋体" w:cs="宋体" w:hint="eastAsia"/>
                <w:color w:val="000000"/>
                <w:spacing w:val="0"/>
                <w:kern w:val="0"/>
                <w:sz w:val="21"/>
                <w:szCs w:val="21"/>
              </w:rPr>
              <w:t>%</w:t>
            </w:r>
            <w:r>
              <w:rPr>
                <w:rFonts w:ascii="宋体" w:eastAsia="宋体" w:hAnsi="宋体" w:cs="宋体" w:hint="eastAsia"/>
                <w:color w:val="000000"/>
                <w:spacing w:val="0"/>
                <w:kern w:val="0"/>
                <w:sz w:val="21"/>
                <w:szCs w:val="21"/>
              </w:rPr>
              <w:t>）</w:t>
            </w:r>
          </w:p>
        </w:tc>
        <w:tc>
          <w:tcPr>
            <w:tcW w:w="1121" w:type="pct"/>
            <w:tcBorders>
              <w:tl2br w:val="nil"/>
              <w:tr2bl w:val="nil"/>
            </w:tcBorders>
            <w:shd w:val="clear" w:color="000000" w:fill="FFFFFF"/>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 xml:space="preserve">　</w:t>
            </w:r>
            <w:r>
              <w:rPr>
                <w:rFonts w:ascii="宋体" w:eastAsia="宋体" w:hAnsi="宋体" w:cs="宋体" w:hint="eastAsia"/>
                <w:color w:val="000000"/>
                <w:spacing w:val="0"/>
                <w:kern w:val="0"/>
                <w:sz w:val="21"/>
                <w:szCs w:val="21"/>
              </w:rPr>
              <w:t>69.04</w:t>
            </w:r>
          </w:p>
        </w:tc>
        <w:tc>
          <w:tcPr>
            <w:tcW w:w="1087" w:type="pct"/>
            <w:tcBorders>
              <w:tl2br w:val="nil"/>
              <w:tr2bl w:val="nil"/>
            </w:tcBorders>
            <w:shd w:val="clear" w:color="000000" w:fill="FFFFFF"/>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lang w:eastAsia="zh-TW"/>
              </w:rPr>
              <w:t xml:space="preserve">　</w:t>
            </w:r>
            <w:r>
              <w:rPr>
                <w:rFonts w:ascii="宋体" w:eastAsia="宋体" w:hAnsi="宋体" w:cs="宋体" w:hint="eastAsia"/>
                <w:color w:val="000000"/>
                <w:spacing w:val="0"/>
                <w:kern w:val="0"/>
                <w:sz w:val="21"/>
                <w:szCs w:val="21"/>
              </w:rPr>
              <w:t>65.22</w:t>
            </w:r>
          </w:p>
        </w:tc>
      </w:tr>
    </w:tbl>
    <w:p w:rsidR="003A55E5" w:rsidRDefault="00D361FE">
      <w:r>
        <w:rPr>
          <w:rFonts w:hint="eastAsia"/>
        </w:rPr>
        <w:t>附表二：</w:t>
      </w:r>
      <w:r>
        <w:rPr>
          <w:rFonts w:hint="eastAsia"/>
        </w:rPr>
        <w:t>CC1</w:t>
      </w:r>
      <w:r>
        <w:rPr>
          <w:rFonts w:hint="eastAsia"/>
        </w:rPr>
        <w:t>资本构成</w:t>
      </w:r>
    </w:p>
    <w:tbl>
      <w:tblPr>
        <w:tblW w:w="8414" w:type="dxa"/>
        <w:tblInd w:w="93" w:type="dxa"/>
        <w:tblBorders>
          <w:top w:val="single" w:sz="8" w:space="0" w:color="000000"/>
          <w:bottom w:val="single" w:sz="8" w:space="0" w:color="000000"/>
          <w:insideH w:val="single" w:sz="8" w:space="0" w:color="000000"/>
          <w:insideV w:val="single" w:sz="8" w:space="0" w:color="000000"/>
        </w:tblBorders>
        <w:tblLayout w:type="fixed"/>
        <w:tblLook w:val="04A0" w:firstRow="1" w:lastRow="0" w:firstColumn="1" w:lastColumn="0" w:noHBand="0" w:noVBand="1"/>
      </w:tblPr>
      <w:tblGrid>
        <w:gridCol w:w="599"/>
        <w:gridCol w:w="4056"/>
        <w:gridCol w:w="1940"/>
        <w:gridCol w:w="1819"/>
      </w:tblGrid>
      <w:tr w:rsidR="003A55E5">
        <w:trPr>
          <w:trHeight w:val="300"/>
        </w:trPr>
        <w:tc>
          <w:tcPr>
            <w:tcW w:w="4655" w:type="dxa"/>
            <w:gridSpan w:val="2"/>
            <w:vMerge w:val="restart"/>
            <w:tcBorders>
              <w:tl2br w:val="nil"/>
              <w:tr2bl w:val="nil"/>
            </w:tcBorders>
            <w:shd w:val="clear" w:color="auto" w:fill="auto"/>
            <w:vAlign w:val="center"/>
          </w:tcPr>
          <w:p w:rsidR="003A55E5" w:rsidRDefault="003A55E5">
            <w:pPr>
              <w:jc w:val="center"/>
              <w:rPr>
                <w:rFonts w:ascii="宋体" w:eastAsia="宋体" w:hAnsi="宋体" w:cs="宋体"/>
                <w:color w:val="000000"/>
                <w:sz w:val="21"/>
                <w:szCs w:val="21"/>
              </w:rPr>
            </w:pPr>
          </w:p>
        </w:tc>
        <w:tc>
          <w:tcPr>
            <w:tcW w:w="1940"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a</w:t>
            </w:r>
          </w:p>
        </w:tc>
        <w:tc>
          <w:tcPr>
            <w:tcW w:w="181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b</w:t>
            </w:r>
          </w:p>
        </w:tc>
      </w:tr>
      <w:tr w:rsidR="003A55E5">
        <w:trPr>
          <w:trHeight w:val="300"/>
        </w:trPr>
        <w:tc>
          <w:tcPr>
            <w:tcW w:w="4655" w:type="dxa"/>
            <w:gridSpan w:val="2"/>
            <w:vMerge/>
            <w:tcBorders>
              <w:tl2br w:val="nil"/>
              <w:tr2bl w:val="nil"/>
            </w:tcBorders>
            <w:shd w:val="clear" w:color="auto" w:fill="auto"/>
            <w:vAlign w:val="center"/>
          </w:tcPr>
          <w:p w:rsidR="003A55E5" w:rsidRDefault="003A55E5">
            <w:pPr>
              <w:jc w:val="center"/>
              <w:rPr>
                <w:rFonts w:ascii="宋体" w:eastAsia="宋体" w:hAnsi="宋体" w:cs="宋体"/>
                <w:color w:val="000000"/>
                <w:sz w:val="21"/>
                <w:szCs w:val="21"/>
              </w:rPr>
            </w:pPr>
          </w:p>
        </w:tc>
        <w:tc>
          <w:tcPr>
            <w:tcW w:w="1940"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数额</w:t>
            </w:r>
          </w:p>
        </w:tc>
        <w:tc>
          <w:tcPr>
            <w:tcW w:w="181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代码</w:t>
            </w:r>
          </w:p>
        </w:tc>
      </w:tr>
      <w:tr w:rsidR="003A55E5">
        <w:trPr>
          <w:trHeight w:val="300"/>
        </w:trPr>
        <w:tc>
          <w:tcPr>
            <w:tcW w:w="8414" w:type="dxa"/>
            <w:gridSpan w:val="4"/>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核心一级资本</w:t>
            </w:r>
          </w:p>
        </w:tc>
      </w:tr>
      <w:tr w:rsidR="003A55E5">
        <w:trPr>
          <w:trHeight w:val="87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实收资本和资本公积可计入部分</w:t>
            </w:r>
          </w:p>
        </w:tc>
        <w:tc>
          <w:tcPr>
            <w:tcW w:w="1940" w:type="dxa"/>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 xml:space="preserve">88132.38 </w:t>
            </w:r>
          </w:p>
        </w:tc>
        <w:tc>
          <w:tcPr>
            <w:tcW w:w="1819"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e+g</w:t>
            </w: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留存收益</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478548.56</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2a</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盈余公积</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 xml:space="preserve">134016.16 </w:t>
            </w:r>
          </w:p>
        </w:tc>
        <w:tc>
          <w:tcPr>
            <w:tcW w:w="1819"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h</w:t>
            </w: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2b</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一般风险准备</w:t>
            </w:r>
          </w:p>
        </w:tc>
        <w:tc>
          <w:tcPr>
            <w:tcW w:w="1940" w:type="dxa"/>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243804.31</w:t>
            </w:r>
          </w:p>
        </w:tc>
        <w:tc>
          <w:tcPr>
            <w:tcW w:w="1819"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i</w:t>
            </w: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2c</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未分配利润</w:t>
            </w:r>
          </w:p>
        </w:tc>
        <w:tc>
          <w:tcPr>
            <w:tcW w:w="1940" w:type="dxa"/>
            <w:tcBorders>
              <w:tl2br w:val="nil"/>
              <w:tr2bl w:val="nil"/>
            </w:tcBorders>
            <w:shd w:val="clear" w:color="auto" w:fill="auto"/>
            <w:vAlign w:val="center"/>
          </w:tcPr>
          <w:p w:rsidR="003A55E5" w:rsidRDefault="00D361FE">
            <w:pPr>
              <w:widowControl/>
              <w:spacing w:line="240" w:lineRule="auto"/>
              <w:jc w:val="left"/>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 xml:space="preserve">100728.09 </w:t>
            </w:r>
          </w:p>
        </w:tc>
        <w:tc>
          <w:tcPr>
            <w:tcW w:w="1819"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j</w:t>
            </w: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累计其他综合收益</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 xml:space="preserve">668.12 </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少数股东资本可计入部分</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 xml:space="preserve">29868.55 </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扣除前的核心一级资本</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pacing w:val="0"/>
                <w:kern w:val="0"/>
                <w:sz w:val="21"/>
                <w:szCs w:val="21"/>
              </w:rPr>
            </w:pPr>
            <w:r>
              <w:rPr>
                <w:rFonts w:ascii="宋体" w:eastAsia="宋体" w:hAnsi="宋体" w:cs="宋体" w:hint="eastAsia"/>
                <w:color w:val="000000"/>
                <w:spacing w:val="0"/>
                <w:kern w:val="0"/>
                <w:sz w:val="21"/>
                <w:szCs w:val="21"/>
              </w:rPr>
              <w:t xml:space="preserve">597217.61 </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8414" w:type="dxa"/>
            <w:gridSpan w:val="4"/>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b/>
                <w:bCs/>
                <w:color w:val="000000"/>
                <w:sz w:val="21"/>
                <w:szCs w:val="21"/>
              </w:rPr>
            </w:pPr>
            <w:r>
              <w:rPr>
                <w:rStyle w:val="font21"/>
                <w:rFonts w:ascii="宋体" w:eastAsia="宋体" w:hAnsi="宋体" w:cs="宋体"/>
                <w:sz w:val="21"/>
                <w:szCs w:val="21"/>
                <w:lang w:bidi="ar"/>
              </w:rPr>
              <w:t>核心一级资本：扣除项</w:t>
            </w:r>
            <w:r>
              <w:rPr>
                <w:rStyle w:val="font11"/>
                <w:rFonts w:ascii="宋体" w:eastAsia="宋体" w:hAnsi="宋体" w:cs="宋体"/>
                <w:sz w:val="21"/>
                <w:szCs w:val="21"/>
                <w:lang w:bidi="ar"/>
              </w:rPr>
              <w:t xml:space="preserve">　</w:t>
            </w: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审慎估值调整</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7</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商誉（扣除递延税负债）</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a-c</w:t>
            </w: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8</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其他无形资产（土地使用权除外）（扣除递延税负债）</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1122.71</w:t>
            </w:r>
            <w:r>
              <w:rPr>
                <w:rFonts w:ascii="宋体" w:eastAsia="宋体" w:hAnsi="宋体" w:cs="宋体" w:hint="eastAsia"/>
                <w:color w:val="000000"/>
                <w:sz w:val="21"/>
                <w:szCs w:val="21"/>
              </w:rPr>
              <w:t xml:space="preserve"> </w:t>
            </w:r>
          </w:p>
        </w:tc>
        <w:tc>
          <w:tcPr>
            <w:tcW w:w="1819"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b-d</w:t>
            </w: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lastRenderedPageBreak/>
              <w:t>9</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依赖未来盈利的由经营亏损引起的净递延税资产</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10</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对未按公允价值计量的项目进行套期形成的现金流储备</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87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11</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损失准备缺口</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12</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资产证券化销售利得</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13</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自身信用风险变化导致其负债公允价值变化带来的未实现损益</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14</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确定受益类的养老金资产净额（扣除递延税负债）</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15</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直接或间接持有本银行的股票</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16</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银行间或银行与其他金融机构间通过协议相互持有的核心一级资本</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17</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对未并表金融机构小额少数资本投资中的核心一级资本中应扣除金额</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18</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对未并表金融机构大额少数资本投资中的核心一级资本中应扣除金额</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19</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其他依赖于银行未来盈利的净递延税资产中应扣除金额</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87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20</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对未并表金融机构大额少数资本投资中的核心一级资本和其他依赖于银行未来盈利的净递延税资产的未扣除部分超过核心一级资本</w:t>
            </w:r>
            <w:r>
              <w:rPr>
                <w:rFonts w:ascii="宋体" w:eastAsia="宋体" w:hAnsi="宋体" w:cs="宋体" w:hint="eastAsia"/>
                <w:color w:val="000000"/>
                <w:kern w:val="0"/>
                <w:sz w:val="21"/>
                <w:szCs w:val="21"/>
                <w:lang w:bidi="ar"/>
              </w:rPr>
              <w:t>15%</w:t>
            </w:r>
            <w:r>
              <w:rPr>
                <w:rFonts w:ascii="宋体" w:eastAsia="宋体" w:hAnsi="宋体" w:cs="宋体" w:hint="eastAsia"/>
                <w:color w:val="000000"/>
                <w:kern w:val="0"/>
                <w:sz w:val="21"/>
                <w:szCs w:val="21"/>
                <w:lang w:bidi="ar"/>
              </w:rPr>
              <w:t>的应扣除金额</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21</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 xml:space="preserve">    </w:t>
            </w:r>
            <w:r>
              <w:rPr>
                <w:rFonts w:ascii="宋体" w:eastAsia="宋体" w:hAnsi="宋体" w:cs="宋体" w:hint="eastAsia"/>
                <w:color w:val="000000"/>
                <w:kern w:val="0"/>
                <w:sz w:val="21"/>
                <w:szCs w:val="21"/>
                <w:lang w:bidi="ar"/>
              </w:rPr>
              <w:t>其中：应在对金融机构大额少数资本投资中扣除的金额</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22</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 xml:space="preserve">    </w:t>
            </w:r>
            <w:r>
              <w:rPr>
                <w:rFonts w:ascii="宋体" w:eastAsia="宋体" w:hAnsi="宋体" w:cs="宋体" w:hint="eastAsia"/>
                <w:color w:val="000000"/>
                <w:kern w:val="0"/>
                <w:sz w:val="21"/>
                <w:szCs w:val="21"/>
                <w:lang w:bidi="ar"/>
              </w:rPr>
              <w:t>其中：应在其他依赖于银行未来盈利的净递延税资产中扣除的金额</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115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23</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其他应在核心一级资本中扣除的项目合计</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24</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应从其他一级资本和二级资本中扣除的未扣缺口</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25</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核心一级资本扣除项总和</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1122.71</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26</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核心一级资本净额</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596094.90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8414" w:type="dxa"/>
            <w:gridSpan w:val="4"/>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其他一级资本</w:t>
            </w: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27</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其他一级资本工具及其溢价</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28</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 xml:space="preserve">    </w:t>
            </w:r>
            <w:r>
              <w:rPr>
                <w:rFonts w:ascii="宋体" w:eastAsia="宋体" w:hAnsi="宋体" w:cs="宋体" w:hint="eastAsia"/>
                <w:color w:val="000000"/>
                <w:kern w:val="0"/>
                <w:sz w:val="21"/>
                <w:szCs w:val="21"/>
                <w:lang w:bidi="ar"/>
              </w:rPr>
              <w:t>其中：权益部分</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29</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 xml:space="preserve">    </w:t>
            </w:r>
            <w:r>
              <w:rPr>
                <w:rFonts w:ascii="宋体" w:eastAsia="宋体" w:hAnsi="宋体" w:cs="宋体" w:hint="eastAsia"/>
                <w:color w:val="000000"/>
                <w:kern w:val="0"/>
                <w:sz w:val="21"/>
                <w:szCs w:val="21"/>
                <w:lang w:bidi="ar"/>
              </w:rPr>
              <w:t>其中：负债部分</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lastRenderedPageBreak/>
              <w:t>30</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少数股东资本可计入部分</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3982.47</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31</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扣除前的其他一级资本</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3982.47</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8414" w:type="dxa"/>
            <w:gridSpan w:val="4"/>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其他一级资本</w:t>
            </w:r>
            <w:r>
              <w:rPr>
                <w:rFonts w:ascii="宋体" w:eastAsia="宋体" w:hAnsi="宋体" w:cs="宋体" w:hint="eastAsia"/>
                <w:b/>
                <w:bCs/>
                <w:color w:val="000000"/>
                <w:kern w:val="0"/>
                <w:sz w:val="21"/>
                <w:szCs w:val="21"/>
                <w:lang w:bidi="ar"/>
              </w:rPr>
              <w:t>:</w:t>
            </w:r>
            <w:r>
              <w:rPr>
                <w:rFonts w:ascii="宋体" w:eastAsia="宋体" w:hAnsi="宋体" w:cs="宋体" w:hint="eastAsia"/>
                <w:b/>
                <w:bCs/>
                <w:color w:val="000000"/>
                <w:kern w:val="0"/>
                <w:sz w:val="21"/>
                <w:szCs w:val="21"/>
                <w:lang w:bidi="ar"/>
              </w:rPr>
              <w:t>扣除项</w:t>
            </w: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32</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直接或间接持有的本银行其他一级资本</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33</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银行间或银行与其他金融机构间通过协议相互持有的其他一级资本</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34</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对未并表金融机构小额少数资本投资中的其他一级资本中应扣除金额</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35</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对未并表金融机构大额少数资本投资中的其他一级资本中应扣除金额</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36</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其他应在其他一级资本中扣除的项目合计</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37</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应从二级资本中扣除的未扣缺口</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38</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其他一级资本扣除项总和</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39</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其他一级资本净额</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3982.47</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40</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一级资本净额</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600077.38</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8414" w:type="dxa"/>
            <w:gridSpan w:val="4"/>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二级资本</w:t>
            </w: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41</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二级资本工具及其溢价</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42</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少数股东资本可计入部分</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7964.95</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43</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超额损失准备可计入部分</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53437.36</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44</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扣除前的二级资本</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61402.31</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8414" w:type="dxa"/>
            <w:gridSpan w:val="4"/>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二级资本：扣除项</w:t>
            </w: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45</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直接或间接持有的本银行的二级资本</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46</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银行间或银行与其他金融机构间通过协议相互持有的其他一级资本</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87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47</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对未并表金融机构小额少数资本投资中的二级资本中应扣除金额</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48</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对未并表金融机构大额少数资本投资中的二级资本</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49</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其他应在二级资本中扣除的项目合计</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50</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二级资本扣除项总和</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51</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二级资本净额</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61402.31</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52</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总资本净额</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661479.69</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53</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风险加权资产</w:t>
            </w:r>
          </w:p>
        </w:tc>
        <w:tc>
          <w:tcPr>
            <w:tcW w:w="1940" w:type="dxa"/>
            <w:tcBorders>
              <w:tl2br w:val="nil"/>
              <w:tr2bl w:val="nil"/>
            </w:tcBorders>
            <w:shd w:val="clear" w:color="auto" w:fill="auto"/>
            <w:vAlign w:val="center"/>
          </w:tcPr>
          <w:p w:rsidR="003A55E5" w:rsidRDefault="00D361FE" w:rsidP="00671ED3">
            <w:pPr>
              <w:rPr>
                <w:rFonts w:ascii="宋体" w:eastAsia="宋体" w:hAnsi="宋体" w:cs="宋体"/>
                <w:color w:val="000000"/>
                <w:sz w:val="21"/>
                <w:szCs w:val="21"/>
              </w:rPr>
            </w:pPr>
            <w:r>
              <w:rPr>
                <w:rFonts w:ascii="宋体" w:eastAsia="宋体" w:hAnsi="宋体" w:cs="宋体" w:hint="eastAsia"/>
                <w:color w:val="000000"/>
                <w:sz w:val="21"/>
                <w:szCs w:val="21"/>
              </w:rPr>
              <w:t>466731</w:t>
            </w:r>
            <w:r w:rsidR="00671ED3">
              <w:rPr>
                <w:rFonts w:ascii="宋体" w:eastAsia="宋体" w:hAnsi="宋体" w:cs="宋体"/>
                <w:color w:val="000000"/>
                <w:sz w:val="21"/>
                <w:szCs w:val="21"/>
              </w:rPr>
              <w:t>5.83</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8414" w:type="dxa"/>
            <w:gridSpan w:val="4"/>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资本充足率和其他各级资本要求</w:t>
            </w: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54</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b/>
                <w:bCs/>
                <w:color w:val="000000"/>
                <w:kern w:val="0"/>
                <w:sz w:val="21"/>
                <w:szCs w:val="21"/>
                <w:lang w:bidi="ar"/>
              </w:rPr>
            </w:pPr>
            <w:r>
              <w:rPr>
                <w:rFonts w:ascii="宋体" w:eastAsia="宋体" w:hAnsi="宋体" w:cs="宋体" w:hint="eastAsia"/>
                <w:b/>
                <w:bCs/>
                <w:color w:val="000000"/>
                <w:kern w:val="0"/>
                <w:sz w:val="21"/>
                <w:szCs w:val="21"/>
                <w:lang w:bidi="ar"/>
              </w:rPr>
              <w:t>核心一级资本充足率</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12.77</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55</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b/>
                <w:bCs/>
                <w:color w:val="000000"/>
                <w:kern w:val="0"/>
                <w:sz w:val="21"/>
                <w:szCs w:val="21"/>
                <w:lang w:bidi="ar"/>
              </w:rPr>
            </w:pPr>
            <w:r>
              <w:rPr>
                <w:rFonts w:ascii="宋体" w:eastAsia="宋体" w:hAnsi="宋体" w:cs="宋体" w:hint="eastAsia"/>
                <w:b/>
                <w:bCs/>
                <w:color w:val="000000"/>
                <w:kern w:val="0"/>
                <w:sz w:val="21"/>
                <w:szCs w:val="21"/>
                <w:lang w:bidi="ar"/>
              </w:rPr>
              <w:t>一级资本充足率</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12.86</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56</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资本充足率</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14.17</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lastRenderedPageBreak/>
              <w:t>57</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其他各级资本要求（</w:t>
            </w:r>
            <w:r>
              <w:rPr>
                <w:rFonts w:ascii="宋体" w:eastAsia="宋体" w:hAnsi="宋体" w:cs="宋体" w:hint="eastAsia"/>
                <w:b/>
                <w:bCs/>
                <w:color w:val="000000"/>
                <w:kern w:val="0"/>
                <w:sz w:val="21"/>
                <w:szCs w:val="21"/>
                <w:lang w:bidi="ar"/>
              </w:rPr>
              <w:t>%</w:t>
            </w:r>
            <w:r>
              <w:rPr>
                <w:rFonts w:ascii="宋体" w:eastAsia="宋体" w:hAnsi="宋体" w:cs="宋体" w:hint="eastAsia"/>
                <w:b/>
                <w:bCs/>
                <w:color w:val="000000"/>
                <w:kern w:val="0"/>
                <w:sz w:val="21"/>
                <w:szCs w:val="21"/>
                <w:lang w:bidi="ar"/>
              </w:rPr>
              <w:t>）</w:t>
            </w:r>
          </w:p>
        </w:tc>
        <w:tc>
          <w:tcPr>
            <w:tcW w:w="1940" w:type="dxa"/>
            <w:tcBorders>
              <w:tl2br w:val="nil"/>
              <w:tr2bl w:val="nil"/>
            </w:tcBorders>
            <w:shd w:val="clear" w:color="auto" w:fill="auto"/>
            <w:vAlign w:val="center"/>
          </w:tcPr>
          <w:p w:rsidR="003A55E5" w:rsidRDefault="00671ED3">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2.50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58</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 xml:space="preserve">    </w:t>
            </w:r>
            <w:r>
              <w:rPr>
                <w:rFonts w:ascii="宋体" w:eastAsia="宋体" w:hAnsi="宋体" w:cs="宋体" w:hint="eastAsia"/>
                <w:color w:val="000000"/>
                <w:kern w:val="0"/>
                <w:sz w:val="21"/>
                <w:szCs w:val="21"/>
                <w:lang w:bidi="ar"/>
              </w:rPr>
              <w:t>其中：储备资本要求</w:t>
            </w:r>
          </w:p>
        </w:tc>
        <w:tc>
          <w:tcPr>
            <w:tcW w:w="1940" w:type="dxa"/>
            <w:tcBorders>
              <w:tl2br w:val="nil"/>
              <w:tr2bl w:val="nil"/>
            </w:tcBorders>
            <w:shd w:val="clear" w:color="auto" w:fill="auto"/>
            <w:vAlign w:val="center"/>
          </w:tcPr>
          <w:p w:rsidR="003A55E5" w:rsidRDefault="00671ED3">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2.50</w:t>
            </w:r>
            <w:bookmarkStart w:id="0" w:name="_GoBack"/>
            <w:bookmarkEnd w:id="0"/>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59</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 xml:space="preserve">    </w:t>
            </w:r>
            <w:r>
              <w:rPr>
                <w:rFonts w:ascii="宋体" w:eastAsia="宋体" w:hAnsi="宋体" w:cs="宋体" w:hint="eastAsia"/>
                <w:color w:val="000000"/>
                <w:kern w:val="0"/>
                <w:sz w:val="21"/>
                <w:szCs w:val="21"/>
                <w:lang w:bidi="ar"/>
              </w:rPr>
              <w:t>其中：逆周期资本要求</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60</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 xml:space="preserve">    </w:t>
            </w:r>
            <w:r>
              <w:rPr>
                <w:rFonts w:ascii="宋体" w:eastAsia="宋体" w:hAnsi="宋体" w:cs="宋体" w:hint="eastAsia"/>
                <w:color w:val="000000"/>
                <w:kern w:val="0"/>
                <w:sz w:val="21"/>
                <w:szCs w:val="21"/>
                <w:lang w:bidi="ar"/>
              </w:rPr>
              <w:t>其中：全球系统重要性银行或国内系统重要性银行附加资本要求</w:t>
            </w:r>
          </w:p>
        </w:tc>
        <w:tc>
          <w:tcPr>
            <w:tcW w:w="1940" w:type="dxa"/>
            <w:tcBorders>
              <w:tl2br w:val="nil"/>
              <w:tr2bl w:val="nil"/>
            </w:tcBorders>
            <w:shd w:val="clear" w:color="auto" w:fill="808080"/>
            <w:vAlign w:val="center"/>
          </w:tcPr>
          <w:p w:rsidR="003A55E5" w:rsidRDefault="003A55E5">
            <w:pPr>
              <w:rPr>
                <w:rFonts w:ascii="宋体" w:eastAsia="宋体" w:hAnsi="宋体" w:cs="宋体"/>
                <w:color w:val="000000"/>
                <w:sz w:val="21"/>
                <w:szCs w:val="21"/>
              </w:rPr>
            </w:pP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87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61</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满足最低资本要求后的可用核心一级资本净额占风险加权资产的比例（</w:t>
            </w:r>
            <w:r>
              <w:rPr>
                <w:rFonts w:ascii="宋体" w:eastAsia="宋体" w:hAnsi="宋体" w:cs="宋体" w:hint="eastAsia"/>
                <w:b/>
                <w:bCs/>
                <w:color w:val="000000"/>
                <w:kern w:val="0"/>
                <w:sz w:val="21"/>
                <w:szCs w:val="21"/>
                <w:lang w:bidi="ar"/>
              </w:rPr>
              <w:t>%</w:t>
            </w:r>
            <w:r>
              <w:rPr>
                <w:rFonts w:ascii="宋体" w:eastAsia="宋体" w:hAnsi="宋体" w:cs="宋体" w:hint="eastAsia"/>
                <w:b/>
                <w:bCs/>
                <w:color w:val="000000"/>
                <w:kern w:val="0"/>
                <w:sz w:val="21"/>
                <w:szCs w:val="21"/>
                <w:lang w:bidi="ar"/>
              </w:rPr>
              <w:t>）</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7.77</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870"/>
        </w:trPr>
        <w:tc>
          <w:tcPr>
            <w:tcW w:w="8414" w:type="dxa"/>
            <w:gridSpan w:val="4"/>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我国最低监管资本要求</w:t>
            </w: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62</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核心一级资本充足率</w:t>
            </w:r>
          </w:p>
        </w:tc>
        <w:tc>
          <w:tcPr>
            <w:tcW w:w="1940" w:type="dxa"/>
            <w:tcBorders>
              <w:tl2br w:val="nil"/>
              <w:tr2bl w:val="nil"/>
            </w:tcBorders>
            <w:shd w:val="clear" w:color="auto" w:fill="auto"/>
            <w:vAlign w:val="center"/>
          </w:tcPr>
          <w:p w:rsidR="003A55E5" w:rsidRDefault="00D361FE">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8.00%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63</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一级资本充足率</w:t>
            </w:r>
          </w:p>
        </w:tc>
        <w:tc>
          <w:tcPr>
            <w:tcW w:w="1940" w:type="dxa"/>
            <w:tcBorders>
              <w:tl2br w:val="nil"/>
              <w:tr2bl w:val="nil"/>
            </w:tcBorders>
            <w:shd w:val="clear" w:color="auto" w:fill="auto"/>
            <w:vAlign w:val="center"/>
          </w:tcPr>
          <w:p w:rsidR="003A55E5" w:rsidRDefault="00D361FE">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6.00%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64</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资本充足率</w:t>
            </w:r>
          </w:p>
        </w:tc>
        <w:tc>
          <w:tcPr>
            <w:tcW w:w="1940" w:type="dxa"/>
            <w:tcBorders>
              <w:tl2br w:val="nil"/>
              <w:tr2bl w:val="nil"/>
            </w:tcBorders>
            <w:shd w:val="clear" w:color="auto" w:fill="auto"/>
            <w:vAlign w:val="center"/>
          </w:tcPr>
          <w:p w:rsidR="003A55E5" w:rsidRDefault="00D361FE">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5.00%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8414" w:type="dxa"/>
            <w:gridSpan w:val="4"/>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门槛扣除项中未扣除部分</w:t>
            </w: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65</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对未并表金融机构的小额少数资本投资中未扣除部分</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2650</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66</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对未并表金融机构的大额少数资本投资中未扣除部分</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51518.25</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585"/>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67</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其他依赖于银行未来盈利的净递延税资产（扣除递延税负债）</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28981.09</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8414" w:type="dxa"/>
            <w:gridSpan w:val="4"/>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lang w:bidi="ar"/>
              </w:rPr>
              <w:t>可计入二级资本的超额损失准备的限额</w:t>
            </w: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68</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权重法下，实际计提的超额损失准备金额</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108906.84</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r w:rsidR="003A55E5">
        <w:trPr>
          <w:trHeight w:val="300"/>
        </w:trPr>
        <w:tc>
          <w:tcPr>
            <w:tcW w:w="599" w:type="dxa"/>
            <w:tcBorders>
              <w:tl2br w:val="nil"/>
              <w:tr2bl w:val="nil"/>
            </w:tcBorders>
            <w:shd w:val="clear" w:color="auto" w:fill="auto"/>
            <w:vAlign w:val="center"/>
          </w:tcPr>
          <w:p w:rsidR="003A55E5" w:rsidRDefault="00D361FE">
            <w:pPr>
              <w:widowControl/>
              <w:jc w:val="center"/>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69</w:t>
            </w:r>
          </w:p>
        </w:tc>
        <w:tc>
          <w:tcPr>
            <w:tcW w:w="4056" w:type="dxa"/>
            <w:tcBorders>
              <w:tl2br w:val="nil"/>
              <w:tr2bl w:val="nil"/>
            </w:tcBorders>
            <w:shd w:val="clear" w:color="auto" w:fill="auto"/>
            <w:vAlign w:val="center"/>
          </w:tcPr>
          <w:p w:rsidR="003A55E5" w:rsidRDefault="00D361F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lang w:bidi="ar"/>
              </w:rPr>
              <w:t>权重法下，可计入二级资本超额损失准备的数额</w:t>
            </w:r>
          </w:p>
        </w:tc>
        <w:tc>
          <w:tcPr>
            <w:tcW w:w="1940" w:type="dxa"/>
            <w:tcBorders>
              <w:tl2br w:val="nil"/>
              <w:tr2bl w:val="nil"/>
            </w:tcBorders>
            <w:shd w:val="clear" w:color="auto" w:fill="auto"/>
            <w:vAlign w:val="center"/>
          </w:tcPr>
          <w:p w:rsidR="003A55E5" w:rsidRDefault="00D361FE">
            <w:pPr>
              <w:rPr>
                <w:rFonts w:ascii="宋体" w:eastAsia="宋体" w:hAnsi="宋体" w:cs="宋体"/>
                <w:color w:val="000000"/>
                <w:sz w:val="21"/>
                <w:szCs w:val="21"/>
              </w:rPr>
            </w:pPr>
            <w:r>
              <w:rPr>
                <w:rFonts w:ascii="宋体" w:eastAsia="宋体" w:hAnsi="宋体" w:cs="宋体" w:hint="eastAsia"/>
                <w:color w:val="000000"/>
                <w:sz w:val="21"/>
                <w:szCs w:val="21"/>
              </w:rPr>
              <w:t>53437.36</w:t>
            </w:r>
          </w:p>
        </w:tc>
        <w:tc>
          <w:tcPr>
            <w:tcW w:w="1819" w:type="dxa"/>
            <w:tcBorders>
              <w:tl2br w:val="nil"/>
              <w:tr2bl w:val="nil"/>
            </w:tcBorders>
            <w:shd w:val="clear" w:color="auto" w:fill="auto"/>
            <w:vAlign w:val="center"/>
          </w:tcPr>
          <w:p w:rsidR="003A55E5" w:rsidRDefault="003A55E5">
            <w:pPr>
              <w:rPr>
                <w:rFonts w:ascii="宋体" w:eastAsia="宋体" w:hAnsi="宋体" w:cs="宋体"/>
                <w:color w:val="000000"/>
                <w:sz w:val="21"/>
                <w:szCs w:val="21"/>
              </w:rPr>
            </w:pPr>
          </w:p>
        </w:tc>
      </w:tr>
    </w:tbl>
    <w:p w:rsidR="003A55E5" w:rsidRDefault="003A55E5">
      <w:pPr>
        <w:rPr>
          <w:rFonts w:ascii="宋体" w:eastAsia="宋体" w:hAnsi="宋体" w:cs="宋体"/>
          <w:sz w:val="21"/>
          <w:szCs w:val="21"/>
        </w:rPr>
      </w:pPr>
    </w:p>
    <w:sectPr w:rsidR="003A55E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61FE" w:rsidRDefault="00D361FE">
      <w:pPr>
        <w:spacing w:line="240" w:lineRule="auto"/>
      </w:pPr>
      <w:r>
        <w:separator/>
      </w:r>
    </w:p>
  </w:endnote>
  <w:endnote w:type="continuationSeparator" w:id="0">
    <w:p w:rsidR="00D361FE" w:rsidRDefault="00D361F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auto"/>
    <w:pitch w:val="default"/>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61FE" w:rsidRDefault="00D361FE">
      <w:pPr>
        <w:spacing w:line="240" w:lineRule="auto"/>
      </w:pPr>
      <w:r>
        <w:separator/>
      </w:r>
    </w:p>
  </w:footnote>
  <w:footnote w:type="continuationSeparator" w:id="0">
    <w:p w:rsidR="00D361FE" w:rsidRDefault="00D361FE">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72AC0"/>
    <w:rsid w:val="00172A27"/>
    <w:rsid w:val="003A55E5"/>
    <w:rsid w:val="005473DC"/>
    <w:rsid w:val="00584B5C"/>
    <w:rsid w:val="00671ED3"/>
    <w:rsid w:val="008C7245"/>
    <w:rsid w:val="00D361FE"/>
    <w:rsid w:val="00E91DA0"/>
    <w:rsid w:val="1A1F47EB"/>
    <w:rsid w:val="1D0D1198"/>
    <w:rsid w:val="32747CD0"/>
    <w:rsid w:val="37F9663F"/>
    <w:rsid w:val="3A02195F"/>
    <w:rsid w:val="673443CF"/>
    <w:rsid w:val="6A4E5DF8"/>
    <w:rsid w:val="6ABE50E7"/>
    <w:rsid w:val="6D8C6E15"/>
    <w:rsid w:val="799B26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B9F51DF-3E6A-4E9A-A45E-3B3F35C6A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等线" w:eastAsia="等线" w:hAnsi="等线" w:cs="等线"/>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240" w:lineRule="atLeast"/>
      <w:jc w:val="both"/>
    </w:pPr>
    <w:rPr>
      <w:rFonts w:ascii="Times New Roman" w:eastAsia="仿宋_GB2312" w:hAnsi="Times New Roman" w:cs="Times New Roman"/>
      <w:spacing w:val="-6"/>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pPr>
      <w:spacing w:line="240" w:lineRule="auto"/>
    </w:pPr>
    <w:rPr>
      <w:sz w:val="18"/>
      <w:szCs w:val="18"/>
    </w:rPr>
  </w:style>
  <w:style w:type="paragraph" w:customStyle="1" w:styleId="a4">
    <w:name w:val="表格"/>
    <w:link w:val="a5"/>
    <w:qFormat/>
    <w:pPr>
      <w:spacing w:line="400" w:lineRule="exact"/>
    </w:pPr>
    <w:rPr>
      <w:rFonts w:ascii="宋体" w:eastAsia="宋体" w:hAnsi="宋体" w:cs="Times New Roman"/>
      <w:bCs/>
      <w:kern w:val="28"/>
      <w:sz w:val="21"/>
      <w:szCs w:val="32"/>
      <w:lang w:val="zh-TW"/>
    </w:rPr>
  </w:style>
  <w:style w:type="character" w:customStyle="1" w:styleId="a5">
    <w:name w:val="表格 字符"/>
    <w:basedOn w:val="a0"/>
    <w:link w:val="a4"/>
    <w:qFormat/>
    <w:rPr>
      <w:rFonts w:ascii="宋体" w:eastAsia="宋体" w:hAnsi="宋体" w:cs="Times New Roman"/>
      <w:bCs/>
      <w:kern w:val="28"/>
      <w:szCs w:val="32"/>
      <w:lang w:val="zh-TW"/>
    </w:rPr>
  </w:style>
  <w:style w:type="character" w:customStyle="1" w:styleId="Char">
    <w:name w:val="批注框文本 Char"/>
    <w:basedOn w:val="a0"/>
    <w:link w:val="a3"/>
    <w:uiPriority w:val="99"/>
    <w:semiHidden/>
    <w:rPr>
      <w:rFonts w:ascii="Times New Roman" w:eastAsia="仿宋_GB2312" w:hAnsi="Times New Roman" w:cs="Times New Roman"/>
      <w:spacing w:val="-6"/>
      <w:sz w:val="18"/>
      <w:szCs w:val="18"/>
    </w:rPr>
  </w:style>
  <w:style w:type="character" w:customStyle="1" w:styleId="font21">
    <w:name w:val="font21"/>
    <w:basedOn w:val="a0"/>
    <w:rPr>
      <w:rFonts w:ascii="微软雅黑" w:eastAsia="微软雅黑" w:hAnsi="微软雅黑" w:cs="微软雅黑" w:hint="eastAsia"/>
      <w:b/>
      <w:bCs/>
      <w:color w:val="000000"/>
      <w:sz w:val="18"/>
      <w:szCs w:val="18"/>
      <w:u w:val="none"/>
    </w:rPr>
  </w:style>
  <w:style w:type="character" w:customStyle="1" w:styleId="font11">
    <w:name w:val="font11"/>
    <w:basedOn w:val="a0"/>
    <w:rPr>
      <w:rFonts w:ascii="微软雅黑" w:eastAsia="微软雅黑" w:hAnsi="微软雅黑" w:cs="微软雅黑" w:hint="eastAsia"/>
      <w:color w:val="000000"/>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457</Words>
  <Characters>2606</Characters>
  <Application>Microsoft Office Word</Application>
  <DocSecurity>0</DocSecurity>
  <Lines>21</Lines>
  <Paragraphs>6</Paragraphs>
  <ScaleCrop>false</ScaleCrop>
  <Company/>
  <LinksUpToDate>false</LinksUpToDate>
  <CharactersWithSpaces>3057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Mfyhpc</cp:lastModifiedBy>
  <cp:revision>5</cp:revision>
  <cp:lastPrinted>2024-06-20T09:39:00Z</cp:lastPrinted>
  <dcterms:created xsi:type="dcterms:W3CDTF">2024-06-20T09:24:00Z</dcterms:created>
  <dcterms:modified xsi:type="dcterms:W3CDTF">2025-07-29T07:25:00Z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518640FA58294D12942BFDAC0A3BC534</vt:lpwstr>
  </property>
</Properties>
</file>